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pBdr>
          <w:bottom w:val="single" w:sz="12" w:space="4" w:color="3A6B4A"/>
        </w:pBdr>
      </w:pPr>
      <w:r>
        <w:rPr>
          <w:b/>
          <w:color w:val="14532D"/>
          <w:sz w:val="52"/>
        </w:rPr>
        <w:t>Renovering eller tilpassing av lokale</w:t>
      </w:r>
    </w:p>
    <w:p>
      <w:pPr>
        <w:spacing w:before="120" w:after="40"/>
      </w:pPr>
      <w:r>
        <w:rPr>
          <w:color w:val="3A6B4A"/>
          <w:sz w:val="25"/>
        </w:rPr>
        <w:t>Del av verktøykassen</w:t>
      </w:r>
    </w:p>
    <w:p>
      <w:pPr>
        <w:spacing w:after="200"/>
      </w:pPr>
      <w:r>
        <w:rPr>
          <w:color w:val="595959"/>
          <w:sz w:val="19"/>
        </w:rPr>
        <w:t>Sist verifisert: 2026-09-16   ·   Status: v1 — ikke kontrollert av idrettskrets eller kommune   ·   Eier: Roger</w:t>
      </w:r>
    </w:p>
    <w:p>
      <w:pPr>
        <w:spacing w:before="160" w:after="80"/>
      </w:pPr>
      <w:r>
        <w:rPr>
          <w:b/>
          <w:color w:val="14532D"/>
          <w:sz w:val="26"/>
        </w:rPr>
        <w:t>Innhold</w:t>
      </w:r>
    </w:p>
    <w:p>
      <w:pPr>
        <w:spacing w:after="40" w:line="240" w:lineRule="auto"/>
        <w:ind w:left="283"/>
      </w:pPr>
      <w:hyperlink w:anchor="ovs1">
        <w:r>
          <w:rPr>
            <w:color w:val="2F6B45"/>
            <w:sz w:val="21"/>
          </w:rPr>
          <w:t xml:space="preserve">Svaret på det de fleste lurer på</w:t>
        </w:r>
      </w:hyperlink>
    </w:p>
    <w:p>
      <w:pPr>
        <w:spacing w:after="40" w:line="240" w:lineRule="auto"/>
        <w:ind w:left="283"/>
      </w:pPr>
      <w:hyperlink w:anchor="ovs2">
        <w:r>
          <w:rPr>
            <w:color w:val="2F6B45"/>
            <w:sz w:val="21"/>
          </w:rPr>
          <w:t xml:space="preserve">Hva klubben må vite om lokalet før den søker noe</w:t>
        </w:r>
      </w:hyperlink>
    </w:p>
    <w:p>
      <w:pPr>
        <w:spacing w:after="40" w:line="240" w:lineRule="auto"/>
        <w:ind w:left="283"/>
      </w:pPr>
      <w:hyperlink w:anchor="ovs3">
        <w:r>
          <w:rPr>
            <w:color w:val="2F6B45"/>
            <w:sz w:val="21"/>
          </w:rPr>
          <w:t xml:space="preserve">Ordningene, én for én</w:t>
        </w:r>
      </w:hyperlink>
    </w:p>
    <w:p>
      <w:pPr>
        <w:spacing w:after="40" w:line="240" w:lineRule="auto"/>
        <w:ind w:left="283"/>
      </w:pPr>
      <w:hyperlink w:anchor="ovs4">
        <w:r>
          <w:rPr>
            <w:color w:val="2F6B45"/>
            <w:sz w:val="21"/>
          </w:rPr>
          <w:t xml:space="preserve">Nytt fritidstilbud for barn og unge — kan det bære oppussingen?</w:t>
        </w:r>
      </w:hyperlink>
    </w:p>
    <w:p>
      <w:pPr>
        <w:spacing w:after="40" w:line="240" w:lineRule="auto"/>
        <w:ind w:left="283"/>
      </w:pPr>
      <w:hyperlink w:anchor="ovs5">
        <w:r>
          <w:rPr>
            <w:color w:val="2F6B45"/>
            <w:sz w:val="21"/>
          </w:rPr>
          <w:t xml:space="preserve">Samlokalisering med andre lag og klubber</w:t>
        </w:r>
      </w:hyperlink>
    </w:p>
    <w:p>
      <w:pPr>
        <w:spacing w:after="40" w:line="240" w:lineRule="auto"/>
        <w:ind w:left="283"/>
      </w:pPr>
      <w:hyperlink w:anchor="ovs6">
        <w:r>
          <w:rPr>
            <w:color w:val="2F6B45"/>
            <w:sz w:val="21"/>
          </w:rPr>
          <w:t xml:space="preserve">Skilt på fasaden</w:t>
        </w:r>
      </w:hyperlink>
    </w:p>
    <w:p>
      <w:pPr>
        <w:spacing w:after="40" w:line="240" w:lineRule="auto"/>
        <w:ind w:left="283"/>
      </w:pPr>
      <w:hyperlink w:anchor="ovs7">
        <w:r>
          <w:rPr>
            <w:color w:val="2F6B45"/>
            <w:sz w:val="21"/>
          </w:rPr>
          <w:t xml:space="preserve">Sjekkliste før klubben pusser opp</w:t>
        </w:r>
      </w:hyperlink>
    </w:p>
    <w:p>
      <w:pPr>
        <w:spacing w:after="40" w:line="240" w:lineRule="auto"/>
        <w:ind w:left="283"/>
      </w:pPr>
      <w:hyperlink w:anchor="ovs8">
        <w:r>
          <w:rPr>
            <w:color w:val="2F6B45"/>
            <w:sz w:val="21"/>
          </w:rPr>
          <w:t xml:space="preserve">Dette må kontrolleres før klubben bygger på siden</w:t>
        </w:r>
      </w:hyperlink>
    </w:p>
    <w:p>
      <w:pPr>
        <w:spacing w:after="40" w:line="240" w:lineRule="auto"/>
        <w:ind w:left="283"/>
      </w:pPr>
      <w:hyperlink w:anchor="ovs9">
        <w:r>
          <w:rPr>
            <w:color w:val="2F6B45"/>
            <w:sz w:val="21"/>
          </w:rPr>
          <w:t xml:space="preserve">Kilder</w:t>
        </w:r>
      </w:hyperlink>
    </w:p>
    <w:p>
      <w:pPr>
        <w:spacing w:before="80" w:after="240"/>
        <w:pBdr>
          <w:bottom w:val="single" w:sz="4" w:space="4" w:color="3A6B4A"/>
        </w:pBdr>
      </w:pPr>
    </w:p>
    <w:p>
      <w:r>
        <w:rPr>
          <w:b/>
          <w:i w:val="0"/>
        </w:rPr>
        <w:t>Versjon 1.0 — september 2026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80"/>
            </w:pPr>
            <w:r/>
            <w:r>
              <w:rPr>
                <w:b/>
                <w:i w:val="0"/>
                <w:color w:val="14532D"/>
              </w:rPr>
              <w:t>Les dette først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 xml:space="preserve">Ordningene nedenfor er kontrollert mot kildene 16. september 2026. Regelverket for spillemidler ble byttet ut sommeren 2026 (ny forskrift, gjeldende fra søknadsåret 2027). </w:t>
            </w:r>
            <w:r>
              <w:rPr>
                <w:b/>
                <w:i w:val="0"/>
                <w:color w:val="14532D"/>
              </w:rPr>
              <w:t>Flere av vilkårene under er hentet fra 2025-bestemmelsene og må bekreftes</w:t>
            </w:r>
            <w:r>
              <w:rPr>
                <w:b w:val="0"/>
                <w:i w:val="0"/>
                <w:color w:val="14532D"/>
              </w:rPr>
              <w:t xml:space="preserve"> — det står ved hvert punkt. Snakk med idrettskretsen og kommunen før klubben bruker penger i tillit til en ordning.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before="120" w:after="200"/>
        <w:pBdr>
          <w:bottom w:val="single" w:sz="4" w:space="4" w:color="C6D9CC"/>
        </w:pBdr>
      </w:pPr>
    </w:p>
    <w:p>
      <w:bookmarkStart w:id="1000" w:name="ovs1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Svaret på det de fleste lurer på</w:t>
      </w:r>
      <w:bookmarkEnd w:id="1000"/>
    </w:p>
    <w:p>
      <w:r>
        <w:rPr>
          <w:b w:val="0"/>
          <w:i w:val="0"/>
        </w:rPr>
        <w:t xml:space="preserve">Det finnes </w:t>
      </w:r>
      <w:r>
        <w:rPr>
          <w:b/>
          <w:i w:val="0"/>
        </w:rPr>
        <w:t>to ulike momsordninger</w:t>
      </w:r>
      <w:r>
        <w:rPr>
          <w:b w:val="0"/>
          <w:i w:val="0"/>
        </w:rPr>
        <w:t>, og de blandes ofte sammen.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Momskompensasjon på varer og tjenester</w:t>
            </w:r>
          </w:p>
        </w:tc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Momskompensasjon ved bygging av idrettsanlegg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Forvaltes av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NIF (søknad) og Lotteri- og stiftelsestilsynet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Lotteri- og stiftelsestilsynet</w:t>
            </w:r>
          </w:p>
        </w:tc>
      </w:tr>
      <w:tr>
        <w:trPr>
          <w:cantSplit/>
        </w:trPr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Grunnlag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Driftskostnadene i årsregnskapet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Et konkret bygge- eller rehabiliteringsprosjekt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Krever spillemiddelsøknad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Nei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Ja, godkjent</w:t>
            </w:r>
          </w:p>
        </w:tc>
      </w:tr>
      <w:tr>
        <w:trPr>
          <w:cantSplit/>
        </w:trPr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Minstebeløp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Ingen for laget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15 000 kr i moms (ca. 60 000 kr i kjøp eks. mva.)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Frist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15. august, året etter kjøpet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1. desember, etter at anlegget er ferdig og regnskapet revidert</w:t>
            </w:r>
          </w:p>
        </w:tc>
      </w:tr>
      <w:tr>
        <w:trPr>
          <w:cantSplit/>
        </w:trPr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Passer for en liten klubb som pusser opp på dugnad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Ja, trolig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Nesten aldri</w:t>
            </w:r>
          </w:p>
        </w:tc>
      </w:tr>
    </w:tbl>
    <w:p>
      <w:pPr>
        <w:spacing w:after="120"/>
      </w:pPr>
    </w:p>
    <w:p>
      <w:r>
        <w:rPr>
          <w:b/>
          <w:i w:val="0"/>
        </w:rPr>
        <w:t>Maling, teppefliser og småmateriell</w:t>
      </w:r>
      <w:r>
        <w:rPr>
          <w:b w:val="0"/>
          <w:i w:val="0"/>
        </w:rPr>
        <w:t xml:space="preserve"> som føres som </w:t>
      </w:r>
      <w:r>
        <w:rPr>
          <w:b w:val="0"/>
          <w:i/>
        </w:rPr>
        <w:t>vedlikehold</w:t>
      </w:r>
      <w:r>
        <w:rPr>
          <w:b w:val="0"/>
          <w:i w:val="0"/>
        </w:rPr>
        <w:t xml:space="preserve"> i driftsregnskapet, teller med i grunnlaget for den vanlige momskompensasjonen. Kostnader som føres som </w:t>
      </w:r>
      <w:r>
        <w:rPr>
          <w:b w:val="0"/>
          <w:i/>
        </w:rPr>
        <w:t>nybygg, påbygg eller ombygging</w:t>
      </w:r>
      <w:r>
        <w:rPr>
          <w:b w:val="0"/>
          <w:i w:val="0"/>
        </w:rPr>
        <w:t xml:space="preserve"> trekkes ut. Grensen mellom de to avgjøres i regnskapet — spør regnskapsføreren før årsoppgjøret, ikke etter.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80"/>
            </w:pPr>
            <w:r/>
            <w:r>
              <w:rPr>
                <w:b/>
                <w:i w:val="0"/>
                <w:color w:val="14532D"/>
              </w:rPr>
              <w:t>Beløpet blir mindre enn momsen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 xml:space="preserve">Den forenklede modellen gir </w:t>
            </w:r>
            <w:r>
              <w:rPr>
                <w:b/>
                <w:i w:val="0"/>
                <w:color w:val="14532D"/>
              </w:rPr>
              <w:t>8 % av driftskostnadene</w:t>
            </w:r>
            <w:r>
              <w:rPr>
                <w:b w:val="0"/>
                <w:i w:val="0"/>
                <w:color w:val="14532D"/>
              </w:rPr>
              <w:t xml:space="preserve"> (6 % over 7 mill. kr), ikke den faktiske momsen. 50 000 kr i oppussingskostnader gir omtrent </w:t>
            </w:r>
            <w:r>
              <w:rPr>
                <w:b/>
                <w:i w:val="0"/>
                <w:color w:val="14532D"/>
              </w:rPr>
              <w:t>4 000 kr</w:t>
            </w:r>
            <w:r>
              <w:rPr>
                <w:b w:val="0"/>
                <w:i w:val="0"/>
                <w:color w:val="14532D"/>
              </w:rPr>
              <w:t xml:space="preserve"> — før eventuell avkorting. Anslag, ikke løfte.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r>
        <w:rPr>
          <w:b/>
          <w:i w:val="0"/>
        </w:rPr>
        <w:t>Dugnad gir ingen moms</w:t>
      </w:r>
      <w:r>
        <w:rPr>
          <w:b w:val="0"/>
          <w:i w:val="0"/>
        </w:rPr>
        <w:t>, og dermed ingen kompensasjon. Timene har likevel verdi: i en spillemiddelsøknad kan dugnad føres i kostnadsoverslaget, verdsatt av en kvalifisert tredjepart.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1" w:name="ovs2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Hva klubben må vite om lokalet før den søker noe</w:t>
      </w:r>
      <w:bookmarkEnd w:id="1001"/>
    </w:p>
    <w:p>
      <w:r>
        <w:rPr>
          <w:b w:val="0"/>
          <w:i w:val="0"/>
        </w:rPr>
        <w:t>Tre spørsmål avgjør nesten alt. Svar på dem først.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Spørsmål</w:t>
            </w:r>
          </w:p>
        </w:tc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Hvorfor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Hvem eier lokalet?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 xml:space="preserve">Spillemidler og anleggsmoms krever at klubben eier, eller har tinglyst leie i </w:t>
            </w:r>
            <w:r>
              <w:rPr>
                <w:b/>
                <w:i w:val="0"/>
                <w:sz w:val="21"/>
              </w:rPr>
              <w:t>minst 30 år</w:t>
            </w:r>
            <w:r>
              <w:rPr>
                <w:b w:val="0"/>
                <w:i w:val="0"/>
                <w:sz w:val="21"/>
              </w:rPr>
              <w:t xml:space="preserve"> (2025-regelen, må bekreftes for 2027). En vanlig leieavtale holder ikke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Hvor høyt er det under taket?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 xml:space="preserve">Biljardanlegg søkes som «aktivitetssal», som krever </w:t>
            </w:r>
            <w:r>
              <w:rPr>
                <w:b/>
                <w:i w:val="0"/>
                <w:sz w:val="21"/>
              </w:rPr>
              <w:t>minst 4 m takhøyde</w:t>
            </w:r>
            <w:r>
              <w:rPr>
                <w:b w:val="0"/>
                <w:i w:val="0"/>
                <w:sz w:val="21"/>
              </w:rPr>
              <w:t xml:space="preserve"> og minst 100 m², og rundskrivet forutsetter garderobe og toalett. De fleste klubblokaler er lavere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Står lokalet i kommunens plan for idrett og fysisk aktivitet?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Uten det behandles ikke en spillemiddelsøknad. Planen rulleres sjelden — det må inn året før</w:t>
            </w:r>
          </w:p>
        </w:tc>
      </w:tr>
    </w:tbl>
    <w:p>
      <w:pPr>
        <w:spacing w:after="120"/>
      </w:pPr>
    </w:p>
    <w:p>
      <w:r>
        <w:rPr>
          <w:b w:val="0"/>
          <w:i w:val="0"/>
        </w:rPr>
        <w:t xml:space="preserve">Svarer klubben </w:t>
      </w:r>
      <w:r>
        <w:rPr>
          <w:b w:val="0"/>
          <w:i/>
        </w:rPr>
        <w:t>leier</w:t>
      </w:r>
      <w:r>
        <w:rPr>
          <w:b w:val="0"/>
          <w:i w:val="0"/>
        </w:rPr>
        <w:t xml:space="preserve">, </w:t>
      </w:r>
      <w:r>
        <w:rPr>
          <w:b w:val="0"/>
          <w:i/>
        </w:rPr>
        <w:t>under 4 m</w:t>
      </w:r>
      <w:r>
        <w:rPr>
          <w:b w:val="0"/>
          <w:i w:val="0"/>
        </w:rPr>
        <w:t xml:space="preserve"> eller </w:t>
      </w:r>
      <w:r>
        <w:rPr>
          <w:b w:val="0"/>
          <w:i/>
        </w:rPr>
        <w:t>nei</w:t>
      </w:r>
      <w:r>
        <w:rPr>
          <w:b w:val="0"/>
          <w:i w:val="0"/>
        </w:rPr>
        <w:t>, er spillemidler og anleggsmoms i praksis stengt. Gå da rett til stiftelsene og den vanlige momskompensasjonen.</w:t>
      </w:r>
    </w:p>
    <w:p>
      <w:pPr>
        <w:spacing w:before="120" w:after="200"/>
        <w:pBdr>
          <w:bottom w:val="single" w:sz="4" w:space="4" w:color="C6D9CC"/>
        </w:pBdr>
      </w:pPr>
    </w:p>
    <w:p>
      <w:r>
        <w:rPr>
          <w:b w:val="0"/>
          <w:i w:val="0"/>
        </w:rPr>
        <w:t>&lt;!--nett:rutenett--&gt;</w:t>
      </w:r>
    </w:p>
    <w:p>
      <w:bookmarkStart w:id="1002" w:name="ovs3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Ordningene, én for én</w:t>
      </w:r>
      <w:bookmarkEnd w:id="1002"/>
    </w:p>
    <w:p>
      <w:pPr>
        <w:pStyle w:val="Heading3"/>
      </w:pPr>
      <w:r>
        <w:rPr>
          <w:b/>
          <w:i w:val="0"/>
          <w:color w:val="2F6B45"/>
          <w:sz w:val="24"/>
        </w:rPr>
        <w:t>1. Momskompensasjon på varer og tjenester</w:t>
      </w:r>
    </w:p>
    <w:p>
      <w:pPr>
        <w:pStyle w:val="ListBullet"/>
      </w:pPr>
      <w:r>
        <w:rPr>
          <w:b/>
          <w:i w:val="0"/>
        </w:rPr>
        <w:t>Dekker:</w:t>
      </w:r>
      <w:r>
        <w:rPr>
          <w:b w:val="0"/>
          <w:i w:val="0"/>
        </w:rPr>
        <w:t xml:space="preserve"> En andel av driftskostnadene, inkludert vedlikehold av lokalet</w:t>
      </w:r>
    </w:p>
    <w:p>
      <w:pPr>
        <w:pStyle w:val="ListBullet"/>
      </w:pPr>
      <w:r>
        <w:rPr>
          <w:b/>
          <w:i w:val="0"/>
        </w:rPr>
        <w:t>Dekker ikke:</w:t>
      </w:r>
      <w:r>
        <w:rPr>
          <w:b w:val="0"/>
          <w:i w:val="0"/>
        </w:rPr>
        <w:t xml:space="preserve"> Nybygg, påbygg, ombygging, avskrivninger på bygg</w:t>
      </w:r>
    </w:p>
    <w:p>
      <w:pPr>
        <w:pStyle w:val="ListBullet"/>
      </w:pPr>
      <w:r>
        <w:rPr>
          <w:b/>
          <w:i w:val="0"/>
        </w:rPr>
        <w:t>Frist:</w:t>
      </w:r>
      <w:r>
        <w:rPr>
          <w:b w:val="0"/>
          <w:i w:val="0"/>
        </w:rPr>
        <w:t xml:space="preserve"> 15. august. Søknaden bygger på fjorårets godkjente regnskap</w:t>
      </w:r>
    </w:p>
    <w:p>
      <w:pPr>
        <w:pStyle w:val="ListBullet"/>
      </w:pPr>
      <w:r>
        <w:rPr>
          <w:b/>
          <w:i w:val="0"/>
        </w:rPr>
        <w:t>Nytt i 2026:</w:t>
      </w:r>
      <w:r>
        <w:rPr>
          <w:b w:val="0"/>
          <w:i w:val="0"/>
        </w:rPr>
        <w:t xml:space="preserve"> Ny forskrift og ny forvaltningsportal hos NIF</w:t>
      </w:r>
    </w:p>
    <w:p>
      <w:pPr>
        <w:pStyle w:val="ListBullet"/>
      </w:pPr>
      <w:r>
        <w:rPr>
          <w:b/>
          <w:i w:val="0"/>
        </w:rPr>
        <w:t>Krever:</w:t>
      </w:r>
      <w:r>
        <w:rPr>
          <w:b w:val="0"/>
          <w:i w:val="0"/>
        </w:rPr>
        <w:t xml:space="preserve"> Registrert i Frivillighetsregisteret, årsmøtegodkjent regnskap</w:t>
      </w:r>
    </w:p>
    <w:p>
      <w:pPr>
        <w:pStyle w:val="ListBullet"/>
      </w:pPr>
      <w:hyperlink r:id="rId11">
        <w:r>
          <w:rPr>
            <w:u w:val="single"/>
            <w:color w:val="1F7A4D"/>
          </w:rPr>
          <w:t xml:space="preserve">Idrettsforbundet: søknad om momskompensasjon</w:t>
        </w:r>
      </w:hyperlink>
    </w:p>
    <w:p>
      <w:pPr>
        <w:pStyle w:val="Heading3"/>
      </w:pPr>
      <w:r>
        <w:rPr>
          <w:b/>
          <w:i w:val="0"/>
          <w:color w:val="2F6B45"/>
          <w:sz w:val="24"/>
        </w:rPr>
        <w:t>2. Momskompensasjon ved bygging av idrettsanlegg</w:t>
      </w:r>
    </w:p>
    <w:p>
      <w:pPr>
        <w:pStyle w:val="ListBullet"/>
      </w:pPr>
      <w:r>
        <w:rPr>
          <w:b/>
          <w:i w:val="0"/>
        </w:rPr>
        <w:t>Dekker:</w:t>
      </w:r>
      <w:r>
        <w:rPr>
          <w:b w:val="0"/>
          <w:i w:val="0"/>
        </w:rPr>
        <w:t xml:space="preserve"> Moms på bygging eller rehabilitering av anlegg som kan få spillemidler</w:t>
      </w:r>
    </w:p>
    <w:p>
      <w:pPr>
        <w:pStyle w:val="ListBullet"/>
      </w:pPr>
      <w:r>
        <w:rPr>
          <w:b/>
          <w:i w:val="0"/>
        </w:rPr>
        <w:t>Dekker ikke:</w:t>
      </w:r>
      <w:r>
        <w:rPr>
          <w:b w:val="0"/>
          <w:i w:val="0"/>
        </w:rPr>
        <w:t xml:space="preserve"> Drift og vedlikehold</w:t>
      </w:r>
    </w:p>
    <w:p>
      <w:pPr>
        <w:pStyle w:val="ListBullet"/>
      </w:pPr>
      <w:r>
        <w:rPr>
          <w:b/>
          <w:i w:val="0"/>
        </w:rPr>
        <w:t>Frist:</w:t>
      </w:r>
      <w:r>
        <w:rPr>
          <w:b w:val="0"/>
          <w:i w:val="0"/>
        </w:rPr>
        <w:t xml:space="preserve"> 1. desember. Søknadsrunden for 2026 åpnet 16. september</w:t>
      </w:r>
    </w:p>
    <w:p>
      <w:pPr>
        <w:pStyle w:val="ListBullet"/>
      </w:pPr>
      <w:r>
        <w:rPr>
          <w:b/>
          <w:i w:val="0"/>
        </w:rPr>
        <w:t>Krever:</w:t>
      </w:r>
      <w:r>
        <w:rPr>
          <w:b w:val="0"/>
          <w:i w:val="0"/>
        </w:rPr>
        <w:t xml:space="preserve"> Godkjent spillemiddelsøknad, ferdig anlegg, revisorattestert anleggsregnskap, minst 15 000 kr i moms</w:t>
      </w:r>
    </w:p>
    <w:p>
      <w:pPr>
        <w:pStyle w:val="ListBullet"/>
      </w:pPr>
      <w:hyperlink r:id="rId12">
        <w:r>
          <w:rPr>
            <w:u w:val="single"/>
            <w:color w:val="1F7A4D"/>
          </w:rPr>
          <w:t xml:space="preserve">Lotteri- og stiftelsestilsynet</w:t>
        </w:r>
      </w:hyperlink>
    </w:p>
    <w:p>
      <w:pPr>
        <w:pStyle w:val="Heading3"/>
      </w:pPr>
      <w:r>
        <w:rPr>
          <w:b/>
          <w:i w:val="0"/>
          <w:color w:val="2F6B45"/>
          <w:sz w:val="24"/>
        </w:rPr>
        <w:t>3. Spillemidler til anlegg</w:t>
      </w:r>
    </w:p>
    <w:p>
      <w:pPr>
        <w:pStyle w:val="ListBullet"/>
      </w:pPr>
      <w:r>
        <w:rPr>
          <w:b/>
          <w:i w:val="0"/>
        </w:rPr>
        <w:t>Dekker:</w:t>
      </w:r>
      <w:r>
        <w:rPr>
          <w:b w:val="0"/>
          <w:i w:val="0"/>
        </w:rPr>
        <w:t xml:space="preserve"> Inntil 1/3 av godkjent kostnad (2025-regel). Biljardanlegg er godkjent anleggstype, søkt som aktivitetssal</w:t>
      </w:r>
    </w:p>
    <w:p>
      <w:pPr>
        <w:pStyle w:val="ListBullet"/>
      </w:pPr>
      <w:r>
        <w:rPr>
          <w:b/>
          <w:i w:val="0"/>
        </w:rPr>
        <w:t>Maks:</w:t>
      </w:r>
      <w:r>
        <w:rPr>
          <w:b w:val="0"/>
          <w:i w:val="0"/>
        </w:rPr>
        <w:t xml:space="preserve"> 700 000 kr for 100 m², 1 000 000 kr for 150 m², 1 700 000 kr for 250 m²</w:t>
      </w:r>
    </w:p>
    <w:p>
      <w:pPr>
        <w:pStyle w:val="ListBullet"/>
      </w:pPr>
      <w:r>
        <w:rPr>
          <w:b/>
          <w:i w:val="0"/>
        </w:rPr>
        <w:t>Dekker ikke:</w:t>
      </w:r>
      <w:r>
        <w:rPr>
          <w:b w:val="0"/>
          <w:i w:val="0"/>
        </w:rPr>
        <w:t xml:space="preserve"> Drift, vedlikehold, løst utstyr</w:t>
      </w:r>
    </w:p>
    <w:p>
      <w:pPr>
        <w:pStyle w:val="ListBullet"/>
      </w:pPr>
      <w:r>
        <w:rPr>
          <w:b/>
          <w:i w:val="0"/>
        </w:rPr>
        <w:t>Frist:</w:t>
      </w:r>
      <w:r>
        <w:rPr>
          <w:b w:val="0"/>
          <w:i w:val="0"/>
        </w:rPr>
        <w:t xml:space="preserve"> Kommunens egen frist (ofte høst). Kommunen sender videre til fylket innen 15. januar</w:t>
      </w:r>
    </w:p>
    <w:p>
      <w:pPr>
        <w:pStyle w:val="ListBullet"/>
      </w:pPr>
      <w:r>
        <w:rPr>
          <w:b/>
          <w:i w:val="0"/>
        </w:rPr>
        <w:t>Krever:</w:t>
      </w:r>
      <w:r>
        <w:rPr>
          <w:b w:val="0"/>
          <w:i w:val="0"/>
        </w:rPr>
        <w:t xml:space="preserve"> Eierskap eller 30 års tinglyst leie, 4 m takhøyde, kommunal plan, kostnadsoverslag. Søk </w:t>
      </w:r>
      <w:r>
        <w:rPr>
          <w:b w:val="0"/>
          <w:i/>
        </w:rPr>
        <w:t>før</w:t>
      </w:r>
      <w:r>
        <w:rPr>
          <w:b w:val="0"/>
          <w:i w:val="0"/>
        </w:rPr>
        <w:t xml:space="preserve"> byggestart</w:t>
      </w:r>
    </w:p>
    <w:p>
      <w:pPr>
        <w:pStyle w:val="ListBullet"/>
      </w:pPr>
      <w:hyperlink r:id="rId13">
        <w:r>
          <w:rPr>
            <w:u w:val="single"/>
            <w:color w:val="1F7A4D"/>
          </w:rPr>
          <w:t xml:space="preserve">Rundskriv 01/26 — satser for søknadsåret 2027</w:t>
        </w:r>
      </w:hyperlink>
    </w:p>
    <w:p>
      <w:pPr>
        <w:pStyle w:val="Heading3"/>
      </w:pPr>
      <w:r>
        <w:rPr>
          <w:b/>
          <w:i w:val="0"/>
          <w:color w:val="2F6B45"/>
          <w:sz w:val="24"/>
        </w:rPr>
        <w:t>4. Spillemidler til utstyr</w:t>
      </w:r>
    </w:p>
    <w:p>
      <w:pPr>
        <w:pStyle w:val="ListBullet"/>
      </w:pPr>
      <w:r>
        <w:rPr>
          <w:b/>
          <w:i w:val="0"/>
        </w:rPr>
        <w:t>Dekker:</w:t>
      </w:r>
      <w:r>
        <w:rPr>
          <w:b w:val="0"/>
          <w:i w:val="0"/>
        </w:rPr>
        <w:t xml:space="preserve"> Biljardbord, duk, ballsett og scoreboard sto på NIFs liste i 2024</w:t>
      </w:r>
    </w:p>
    <w:p>
      <w:pPr>
        <w:pStyle w:val="ListBullet"/>
      </w:pPr>
      <w:r>
        <w:rPr>
          <w:b/>
          <w:i w:val="0"/>
        </w:rPr>
        <w:t>Frist:</w:t>
      </w:r>
      <w:r>
        <w:rPr>
          <w:b w:val="0"/>
          <w:i w:val="0"/>
        </w:rPr>
        <w:t xml:space="preserve"> Tidlig på året (4. februar i 2026) for fjorårets kjøp, i SportsAdmin</w:t>
      </w:r>
    </w:p>
    <w:p>
      <w:pPr>
        <w:pStyle w:val="ListBullet"/>
      </w:pPr>
      <w:r>
        <w:rPr>
          <w:b/>
          <w:i w:val="0"/>
        </w:rPr>
        <w:t>Merk:</w:t>
      </w:r>
      <w:r>
        <w:rPr>
          <w:b w:val="0"/>
          <w:i w:val="0"/>
        </w:rPr>
        <w:t xml:space="preserve"> Den mest konkrete statlige kilden for bord og duk. Kontroller at biljard fortsatt står på lista for 2027</w:t>
      </w:r>
    </w:p>
    <w:p>
      <w:pPr>
        <w:pStyle w:val="ListBullet"/>
      </w:pPr>
      <w:hyperlink r:id="rId14">
        <w:r>
          <w:rPr>
            <w:u w:val="single"/>
            <w:color w:val="1F7A4D"/>
          </w:rPr>
          <w:t xml:space="preserve">Idrettsforbundet: spillemidler til utstyr</w:t>
        </w:r>
      </w:hyperlink>
    </w:p>
    <w:p>
      <w:pPr>
        <w:pStyle w:val="Heading3"/>
      </w:pPr>
      <w:r>
        <w:rPr>
          <w:b/>
          <w:i w:val="0"/>
          <w:color w:val="2F6B45"/>
          <w:sz w:val="24"/>
        </w:rPr>
        <w:t>5. Sparebankstiftelser</w:t>
      </w:r>
    </w:p>
    <w:p>
      <w:pPr>
        <w:pStyle w:val="ListBullet"/>
      </w:pPr>
      <w:r>
        <w:rPr>
          <w:b/>
          <w:i w:val="0"/>
        </w:rPr>
        <w:t>SpareBank 1 Nord-Norge, Samfunnsløftet:</w:t>
      </w:r>
      <w:r>
        <w:rPr>
          <w:b w:val="0"/>
          <w:i w:val="0"/>
        </w:rPr>
        <w:t xml:space="preserve"> Støtter anlegg og møteplasser. Snitt ca. 65 000 kr, maks 50 % av budsjettet</w:t>
      </w:r>
    </w:p>
    <w:p>
      <w:pPr>
        <w:pStyle w:val="ListBullet"/>
      </w:pPr>
      <w:r>
        <w:rPr>
          <w:b/>
          <w:i w:val="0"/>
        </w:rPr>
        <w:t>Frist:</w:t>
      </w:r>
      <w:r>
        <w:rPr>
          <w:b w:val="0"/>
          <w:i w:val="0"/>
        </w:rPr>
        <w:t xml:space="preserve"> Se årshjulet. Bankens egen fristside og utlysningsteksten for 2026 sier ikke det samme — sjekk før klubben planlegger etter en dato</w:t>
      </w:r>
    </w:p>
    <w:p>
      <w:pPr>
        <w:pStyle w:val="ListBullet"/>
      </w:pPr>
      <w:r>
        <w:rPr>
          <w:b/>
          <w:i w:val="0"/>
        </w:rPr>
        <w:t>Sparebankstiftelsen DNB:</w:t>
      </w:r>
      <w:r>
        <w:rPr>
          <w:b w:val="0"/>
          <w:i w:val="0"/>
        </w:rPr>
        <w:t xml:space="preserve"> Dekker engangsutgifter, ikke husleie. Nedslagsfeltet er i hovedsak Østlandet</w:t>
      </w:r>
    </w:p>
    <w:p>
      <w:pPr>
        <w:pStyle w:val="ListBullet"/>
      </w:pPr>
      <w:r>
        <w:rPr>
          <w:b/>
          <w:i w:val="0"/>
        </w:rPr>
        <w:t>Andre regionale sparebanker:</w:t>
      </w:r>
      <w:r>
        <w:rPr>
          <w:b w:val="0"/>
          <w:i w:val="0"/>
        </w:rPr>
        <w:t xml:space="preserve"> Har ofte egne gavefond. Spør lokalbanken</w:t>
      </w:r>
    </w:p>
    <w:p>
      <w:pPr>
        <w:pStyle w:val="ListBullet"/>
      </w:pPr>
      <w:hyperlink r:id="rId15">
        <w:r>
          <w:rPr>
            <w:u w:val="single"/>
            <w:color w:val="1F7A4D"/>
          </w:rPr>
          <w:t xml:space="preserve">Samfunnsløftet</w:t>
        </w:r>
      </w:hyperlink>
    </w:p>
    <w:p>
      <w:pPr>
        <w:pStyle w:val="Heading3"/>
      </w:pPr>
      <w:r>
        <w:rPr>
          <w:b/>
          <w:i w:val="0"/>
          <w:color w:val="2F6B45"/>
          <w:sz w:val="24"/>
        </w:rPr>
        <w:t>6. Kommunen</w:t>
      </w:r>
    </w:p>
    <w:p>
      <w:pPr>
        <w:pStyle w:val="ListBullet"/>
      </w:pPr>
      <w:r>
        <w:rPr>
          <w:b/>
          <w:i w:val="0"/>
        </w:rPr>
        <w:t>Investeringstilskudd:</w:t>
      </w:r>
      <w:r>
        <w:rPr>
          <w:b w:val="0"/>
          <w:i w:val="0"/>
        </w:rPr>
        <w:t xml:space="preserve"> Flere kommuner har egne tilskudd til kapitalprosjekter i lag og foreninger</w:t>
      </w:r>
    </w:p>
    <w:p>
      <w:pPr>
        <w:pStyle w:val="ListBullet"/>
      </w:pPr>
      <w:r>
        <w:rPr>
          <w:b/>
          <w:i w:val="0"/>
        </w:rPr>
        <w:t>Utstyrs- og oppstartstilskudd:</w:t>
      </w:r>
      <w:r>
        <w:rPr>
          <w:b w:val="0"/>
          <w:i w:val="0"/>
        </w:rPr>
        <w:t xml:space="preserve"> Finnes i mange kommuner under kultur, ikke idrett</w:t>
      </w:r>
    </w:p>
    <w:p>
      <w:pPr>
        <w:pStyle w:val="ListBullet"/>
      </w:pPr>
      <w:r>
        <w:rPr>
          <w:b/>
          <w:i w:val="0"/>
        </w:rPr>
        <w:t>Merk:</w:t>
      </w:r>
      <w:r>
        <w:rPr>
          <w:b w:val="0"/>
          <w:i w:val="0"/>
        </w:rPr>
        <w:t xml:space="preserve"> Navn, beløp og frister varierer fra kommune til kommune. Ring kulturkontoret</w:t>
      </w:r>
    </w:p>
    <w:p>
      <w:pPr>
        <w:pStyle w:val="ListBullet"/>
      </w:pPr>
      <w:r>
        <w:rPr>
          <w:b w:val="0"/>
          <w:i w:val="0"/>
        </w:rPr>
        <w:t xml:space="preserve">Mo i Rana: </w:t>
      </w:r>
      <w:hyperlink r:id="rId16">
        <w:r>
          <w:rPr>
            <w:u w:val="single"/>
            <w:color w:val="1F7A4D"/>
          </w:rPr>
          <w:t xml:space="preserve">tilskudd i Rana kommune</w:t>
        </w:r>
      </w:hyperlink>
    </w:p>
    <w:p>
      <w:pPr>
        <w:spacing w:before="120" w:after="200"/>
        <w:pBdr>
          <w:bottom w:val="single" w:sz="4" w:space="4" w:color="C6D9CC"/>
        </w:pBdr>
      </w:pPr>
    </w:p>
    <w:p>
      <w:bookmarkStart w:id="1003" w:name="ovs4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Nytt fritidstilbud for barn og unge — kan det bære oppussingen?</w:t>
      </w:r>
      <w:bookmarkEnd w:id="1003"/>
    </w:p>
    <w:p>
      <w:r>
        <w:rPr>
          <w:b/>
          <w:i w:val="0"/>
        </w:rPr>
        <w:t>Delvis.</w:t>
      </w:r>
      <w:r>
        <w:rPr>
          <w:b w:val="0"/>
          <w:i w:val="0"/>
        </w:rPr>
        <w:t xml:space="preserve"> Ordningene for barn og unge støtter </w:t>
      </w:r>
      <w:r>
        <w:rPr>
          <w:b w:val="0"/>
          <w:i/>
        </w:rPr>
        <w:t>aktiviteten</w:t>
      </w:r>
      <w:r>
        <w:rPr>
          <w:b w:val="0"/>
          <w:i w:val="0"/>
        </w:rPr>
        <w:t>, ikke bygget. Men et nytt tilbud gjør det lettere å få stiftelsene med på det som trengs for at tilbudet kan skje.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2268"/>
        <w:gridCol w:w="2268"/>
        <w:gridCol w:w="2268"/>
        <w:gridCol w:w="2268"/>
      </w:tblGrid>
      <w:tr>
        <w:trPr>
          <w:cantSplit/>
          <w:tblHeader w:val="true"/>
        </w:trPr>
        <w:tc>
          <w:tcPr>
            <w:tcW w:type="dxa" w:w="2268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Ordning</w:t>
            </w:r>
          </w:p>
        </w:tc>
        <w:tc>
          <w:tcPr>
            <w:tcW w:type="dxa" w:w="2268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Lokale og oppussing</w:t>
            </w:r>
          </w:p>
        </w:tc>
        <w:tc>
          <w:tcPr>
            <w:tcW w:type="dxa" w:w="2268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Utstyr</w:t>
            </w:r>
          </w:p>
        </w:tc>
        <w:tc>
          <w:tcPr>
            <w:tcW w:type="dxa" w:w="2268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Merk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Bufdir — inkludering av barn og unge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Husleie kan være prosjektkostnad. Oppussing er ikke nevnt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Ja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Målgruppe 0–24 år. 5 % egenandel. Frist for 2027 publiseres midt i oktober 2026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Gjensidigestiftelsen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Ikke omtalt i utlysningen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Utstyr og inventar er støtteberettiget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2026-fristene er passert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SpareBank 1 Nord-Norge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Ja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Ja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Vekt på møteplasser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NIF — inkludering i idrettslag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Drifts- og prosjektmidler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Ikke spesifisert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Bare der idrettsrådet eller kretsen forvalter midlene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Lokale aktivitetsmidler (LAM)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Nei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Nei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Fordeles etter medlemmer 6–19 år. Klubben må ha dem registrert</w:t>
            </w:r>
          </w:p>
        </w:tc>
      </w:tr>
    </w:tbl>
    <w:p>
      <w:pPr>
        <w:spacing w:after="120"/>
      </w:pPr>
    </w:p>
    <w:p>
      <w:r>
        <w:rPr>
          <w:b/>
          <w:i w:val="0"/>
        </w:rPr>
        <w:t>Slik bygger klubben søknaden:</w:t>
      </w:r>
      <w:r>
        <w:rPr>
          <w:b w:val="0"/>
          <w:i w:val="0"/>
        </w:rPr>
        <w:t xml:space="preserve"> Snookerskolen er prosjektet. Lokalet og utstyret er det som trengs for å gjennomføre det. Skriv søknaden om </w:t>
      </w:r>
      <w:r>
        <w:rPr>
          <w:b w:val="0"/>
          <w:i/>
        </w:rPr>
        <w:t>kurset</w:t>
      </w:r>
      <w:r>
        <w:rPr>
          <w:b w:val="0"/>
          <w:i w:val="0"/>
        </w:rPr>
        <w:t xml:space="preserve"> og før lokaletilpassingen som en budsjettlinje, ikke omvendt. Søknadspakken har ferdig tekst for dette.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4" w:name="ovs5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Samlokalisering med andre lag og klubber</w:t>
      </w:r>
      <w:bookmarkEnd w:id="1004"/>
    </w:p>
    <w:p>
      <w:r>
        <w:rPr>
          <w:b w:val="0"/>
          <w:i w:val="0"/>
        </w:rPr>
        <w:t xml:space="preserve">Vi har </w:t>
      </w:r>
      <w:r>
        <w:rPr>
          <w:b/>
          <w:i w:val="0"/>
        </w:rPr>
        <w:t>ikke funnet noen egen tilskuddsordning</w:t>
      </w:r>
      <w:r>
        <w:rPr>
          <w:b w:val="0"/>
          <w:i w:val="0"/>
        </w:rPr>
        <w:t xml:space="preserve"> for at flere klubber deler lokale. Det er likevel flere grunner til å vurdere det:</w:t>
      </w:r>
    </w:p>
    <w:p>
      <w:pPr>
        <w:pStyle w:val="ListBullet"/>
      </w:pPr>
      <w:r>
        <w:rPr>
          <w:b/>
          <w:i w:val="0"/>
        </w:rPr>
        <w:t>Spillemidler:</w:t>
      </w:r>
      <w:r>
        <w:rPr>
          <w:b w:val="0"/>
          <w:i w:val="0"/>
        </w:rPr>
        <w:t xml:space="preserve"> Aktivitetssal er definert som flerbruksflate for blant annet bordtennis, kampsport, dans og e-sport. Et lokale som deles med én av disse, passer inn i samme anleggstype — men kravene til takhøyde, eierskap og plan gjelder fortsatt.</w:t>
      </w:r>
    </w:p>
    <w:p>
      <w:pPr>
        <w:pStyle w:val="ListBullet"/>
      </w:pPr>
      <w:r>
        <w:rPr>
          <w:b/>
          <w:i w:val="0"/>
        </w:rPr>
        <w:t>Kommunen:</w:t>
      </w:r>
      <w:r>
        <w:rPr>
          <w:b w:val="0"/>
          <w:i w:val="0"/>
        </w:rPr>
        <w:t xml:space="preserve"> Kommuner som leier ut egne lokaler, prioriterer ofte lag som deler. Enkelte kommuner har partnerskapsavtaler for private anlegg med mye aktivitet for barn og unge.</w:t>
      </w:r>
    </w:p>
    <w:p>
      <w:pPr>
        <w:pStyle w:val="ListBullet"/>
      </w:pPr>
      <w:r>
        <w:rPr>
          <w:b/>
          <w:i w:val="0"/>
        </w:rPr>
        <w:t>Stiftelser:</w:t>
      </w:r>
      <w:r>
        <w:rPr>
          <w:b w:val="0"/>
          <w:i w:val="0"/>
        </w:rPr>
        <w:t xml:space="preserve"> Samfunnsløftet og Bufdir-ordningen vektlegger </w:t>
      </w:r>
      <w:r>
        <w:rPr>
          <w:b w:val="0"/>
          <w:i/>
        </w:rPr>
        <w:t>møteplasser</w:t>
      </w:r>
      <w:r>
        <w:rPr>
          <w:b w:val="0"/>
          <w:i w:val="0"/>
        </w:rPr>
        <w:t>. Et lokale der flere lag holder til, er et sterkere argument enn en enkeltklubb.</w:t>
      </w:r>
    </w:p>
    <w:p>
      <w:pPr>
        <w:pStyle w:val="ListBullet"/>
      </w:pPr>
      <w:r>
        <w:rPr>
          <w:b/>
          <w:i w:val="0"/>
        </w:rPr>
        <w:t>Idrettsrådet:</w:t>
      </w:r>
      <w:r>
        <w:rPr>
          <w:b w:val="0"/>
          <w:i w:val="0"/>
        </w:rPr>
        <w:t xml:space="preserve"> Idrettsrådet i kommunen er stedet å løfte ønsket om felles lokale. Det er idrettsrådet som gir kommunen innspill til planen.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80"/>
            </w:pPr>
            <w:r/>
            <w:r>
              <w:rPr>
                <w:b/>
                <w:i w:val="0"/>
                <w:color w:val="14532D"/>
              </w:rPr>
              <w:t>Mulige samboere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Bordtennis, dart, sjakk, e-sport og bridge har lignende behov: rolige innendørs lokaler, kveldsbruk og få medlemmer per kvadratmeter. Dart og bordtennis tåler også lavere takhøyde enn en idrettshall.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before="120" w:after="200"/>
        <w:pBdr>
          <w:bottom w:val="single" w:sz="4" w:space="4" w:color="C6D9CC"/>
        </w:pBdr>
      </w:pPr>
    </w:p>
    <w:p>
      <w:bookmarkStart w:id="1005" w:name="ovs6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Skilt på fasaden</w:t>
      </w:r>
      <w:bookmarkEnd w:id="1005"/>
    </w:p>
    <w:p>
      <w:pPr>
        <w:pStyle w:val="ListBullet"/>
      </w:pPr>
      <w:r>
        <w:rPr>
          <w:b/>
          <w:i w:val="0"/>
        </w:rPr>
        <w:t>Et skilt inntil 3 m² montert flatt på vegg</w:t>
      </w:r>
      <w:r>
        <w:rPr>
          <w:b w:val="0"/>
          <w:i w:val="0"/>
        </w:rPr>
        <w:t xml:space="preserve"> er som hovedregel søknadsfritt etter plan- og bygningsloven. Unntaket gjelder ikke hvis det allerede sitter flere skilt på samme fasade, eller hvis reguleringsplanen sier noe annet.</w:t>
      </w:r>
    </w:p>
    <w:p>
      <w:pPr>
        <w:pStyle w:val="ListBullet"/>
      </w:pPr>
      <w:r>
        <w:rPr>
          <w:b/>
          <w:i w:val="0"/>
        </w:rPr>
        <w:t>Klubbnavn på eget bygg</w:t>
      </w:r>
      <w:r>
        <w:rPr>
          <w:b w:val="0"/>
          <w:i w:val="0"/>
        </w:rPr>
        <w:t xml:space="preserve"> trenger ikke tillatelse etter veglova. Annen reklame synlig fra vei kan gjøre det.</w:t>
      </w:r>
    </w:p>
    <w:p>
      <w:pPr>
        <w:pStyle w:val="ListBullet"/>
      </w:pPr>
      <w:r>
        <w:rPr>
          <w:b/>
          <w:i w:val="0"/>
        </w:rPr>
        <w:t>Utleier må samtykke.</w:t>
      </w:r>
      <w:r>
        <w:rPr>
          <w:b w:val="0"/>
          <w:i w:val="0"/>
        </w:rPr>
        <w:t xml:space="preserve"> Er bygget et sameie, må også styret i sameiet det.</w:t>
      </w:r>
    </w:p>
    <w:p>
      <w:pPr>
        <w:pStyle w:val="ListBullet"/>
      </w:pPr>
      <w:r>
        <w:rPr>
          <w:b w:val="0"/>
          <w:i w:val="0"/>
        </w:rPr>
        <w:t>Ingen av ordningene over nevner skilt særskilt. Det kan tas med som en linje i en søknad om møteplass eller oppstart.</w:t>
      </w:r>
    </w:p>
    <w:p>
      <w:r>
        <w:rPr>
          <w:b w:val="0"/>
          <w:i w:val="0"/>
        </w:rPr>
        <w:t xml:space="preserve">Se også siden om promotering av klubb og tilbud. </w:t>
      </w:r>
      <w:hyperlink r:id="rId17">
        <w:r>
          <w:rPr>
            <w:u w:val="single"/>
            <w:color w:val="1F7A4D"/>
          </w:rPr>
          <w:t xml:space="preserve">Direktoratet for byggkvalitet — søknadsfrie skilt</w:t>
        </w:r>
      </w:hyperlink>
    </w:p>
    <w:p>
      <w:pPr>
        <w:spacing w:before="120" w:after="200"/>
        <w:pBdr>
          <w:bottom w:val="single" w:sz="4" w:space="4" w:color="C6D9CC"/>
        </w:pBdr>
      </w:pPr>
    </w:p>
    <w:p>
      <w:bookmarkStart w:id="1006" w:name="ovs7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Sjekkliste før klubben pusser opp</w:t>
      </w:r>
      <w:bookmarkEnd w:id="1006"/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Leieavtale lest: hvem eier, hvor lenge, hva sier den om ombygging og skilt?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Takhøyde og areal målt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Idrettsrådet og kommunen spurt om lokalet kan inn i planen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Regnskapsfører spurt om hva som føres som vedlikehold og hva som er ombygging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Alle kvitteringer samlet, med dato og hva som er kjøpt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Dugnadstimer ført med navn og dato — de brukes i søknader og rapporter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Før- og etterbilder tatt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Plassbehov og lys kontrollert mot NBFs krav før bord bestilles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7" w:name="ovs8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Dette må kontrolleres før klubben bygger på siden</w:t>
      </w:r>
      <w:bookmarkEnd w:id="1007"/>
    </w:p>
    <w:p>
      <w:pPr>
        <w:pStyle w:val="ListNumber"/>
        <w:numPr>
          <w:ilvl w:val="0"/>
          <w:numId w:val="10"/>
        </w:numPr>
      </w:pPr>
      <w:r>
        <w:rPr>
          <w:b/>
          <w:i w:val="0"/>
        </w:rPr>
        <w:t>Ny anleggsforskrift (FOR-2026-06-05-1024):</w:t>
      </w:r>
      <w:r>
        <w:rPr>
          <w:b w:val="0"/>
          <w:i w:val="0"/>
        </w:rPr>
        <w:t xml:space="preserve"> eierskap, dugnad og rehabilitering er her gjengitt etter 2025-bestemmelsene.</w:t>
      </w:r>
    </w:p>
    <w:p>
      <w:pPr>
        <w:pStyle w:val="ListNumber"/>
        <w:numPr>
          <w:ilvl w:val="0"/>
          <w:numId w:val="10"/>
        </w:numPr>
      </w:pPr>
      <w:r>
        <w:rPr>
          <w:b/>
          <w:i w:val="0"/>
        </w:rPr>
        <w:t>Takhøyde:</w:t>
      </w:r>
      <w:r>
        <w:rPr>
          <w:b w:val="0"/>
          <w:i w:val="0"/>
        </w:rPr>
        <w:t xml:space="preserve"> om et biljardlokale under 4 m kan få dispensasjon. Spør fylkeskommunen.</w:t>
      </w:r>
    </w:p>
    <w:p>
      <w:pPr>
        <w:pStyle w:val="ListNumber"/>
        <w:numPr>
          <w:ilvl w:val="0"/>
          <w:numId w:val="10"/>
        </w:numPr>
      </w:pPr>
      <w:r>
        <w:rPr>
          <w:b/>
          <w:i w:val="0"/>
        </w:rPr>
        <w:t>Kommunens egne frister</w:t>
      </w:r>
      <w:r>
        <w:rPr>
          <w:b w:val="0"/>
          <w:i w:val="0"/>
        </w:rPr>
        <w:t xml:space="preserve"> for spillemidler og investeringstilskudd.</w:t>
      </w:r>
    </w:p>
    <w:p>
      <w:pPr>
        <w:pStyle w:val="ListNumber"/>
        <w:numPr>
          <w:ilvl w:val="0"/>
          <w:numId w:val="10"/>
        </w:numPr>
      </w:pPr>
      <w:r>
        <w:rPr>
          <w:b/>
          <w:i w:val="0"/>
        </w:rPr>
        <w:t>Regnskapsføring:</w:t>
      </w:r>
      <w:r>
        <w:rPr>
          <w:b w:val="0"/>
          <w:i w:val="0"/>
        </w:rPr>
        <w:t xml:space="preserve"> grensen mellom vedlikehold og ombygging, og om kostnader knyttet til leide eller utleide lokaler trekkes ut av grunnlaget.</w:t>
      </w:r>
    </w:p>
    <w:p>
      <w:pPr>
        <w:pStyle w:val="ListNumber"/>
        <w:numPr>
          <w:ilvl w:val="0"/>
          <w:numId w:val="10"/>
        </w:numPr>
      </w:pPr>
      <w:r>
        <w:rPr>
          <w:b/>
          <w:i w:val="0"/>
        </w:rPr>
        <w:t>Spillemidler til utstyr:</w:t>
      </w:r>
      <w:r>
        <w:rPr>
          <w:b w:val="0"/>
          <w:i w:val="0"/>
        </w:rPr>
        <w:t xml:space="preserve"> om biljardbord og duk står på lista for 2027.</w:t>
      </w:r>
    </w:p>
    <w:p>
      <w:pPr>
        <w:pStyle w:val="ListNumber"/>
        <w:numPr>
          <w:ilvl w:val="0"/>
          <w:numId w:val="10"/>
        </w:numPr>
      </w:pPr>
      <w:r>
        <w:rPr>
          <w:b/>
          <w:i w:val="0"/>
        </w:rPr>
        <w:t>Samfunnsløftet:</w:t>
      </w:r>
      <w:r>
        <w:rPr>
          <w:b w:val="0"/>
          <w:i w:val="0"/>
        </w:rPr>
        <w:t xml:space="preserve"> hvilken frist som gjelder høsten 2026.</w:t>
      </w:r>
    </w:p>
    <w:p>
      <w:pPr>
        <w:pStyle w:val="ListNumber"/>
        <w:numPr>
          <w:ilvl w:val="0"/>
          <w:numId w:val="10"/>
        </w:numPr>
      </w:pPr>
      <w:r>
        <w:rPr>
          <w:b/>
          <w:i w:val="0"/>
        </w:rPr>
        <w:t>Reguleringsplanen</w:t>
      </w:r>
      <w:r>
        <w:rPr>
          <w:b w:val="0"/>
          <w:i w:val="0"/>
        </w:rPr>
        <w:t xml:space="preserve"> der klubben ligger, før skilt bestilles.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8" w:name="ovs9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Kilder</w:t>
      </w:r>
      <w:bookmarkEnd w:id="1008"/>
    </w:p>
    <w:p>
      <w:pPr>
        <w:pStyle w:val="ListBullet"/>
      </w:pPr>
      <w:hyperlink r:id="rId18">
        <w:r>
          <w:rPr>
            <w:u w:val="single"/>
            <w:color w:val="1F7A4D"/>
          </w:rPr>
          <w:t xml:space="preserve">Bestemmelser om kompensasjon av merverdiavgift ved bygging av idrettsanlegg 2026</w:t>
        </w:r>
      </w:hyperlink>
    </w:p>
    <w:p>
      <w:pPr>
        <w:pStyle w:val="ListBullet"/>
      </w:pPr>
      <w:hyperlink r:id="rId19">
        <w:r>
          <w:rPr>
            <w:u w:val="single"/>
            <w:color w:val="1F7A4D"/>
          </w:rPr>
          <w:t xml:space="preserve">Ny forskrift om tilskudd til anlegg for idrett og fysisk aktivitet</w:t>
        </w:r>
      </w:hyperlink>
    </w:p>
    <w:p>
      <w:pPr>
        <w:pStyle w:val="ListBullet"/>
      </w:pPr>
      <w:hyperlink r:id="rId20">
        <w:r>
          <w:rPr>
            <w:u w:val="single"/>
            <w:color w:val="1F7A4D"/>
          </w:rPr>
          <w:t xml:space="preserve">Anleggsregisteret — vilkår og krav</w:t>
        </w:r>
      </w:hyperlink>
    </w:p>
    <w:p>
      <w:pPr>
        <w:pStyle w:val="ListBullet"/>
      </w:pPr>
      <w:hyperlink r:id="rId21">
        <w:r>
          <w:rPr>
            <w:u w:val="single"/>
            <w:color w:val="1F7A4D"/>
          </w:rPr>
          <w:t xml:space="preserve">Lotteri- og stiftelsestilsynet — momskompensasjon på varer og tjenester</w:t>
        </w:r>
      </w:hyperlink>
    </w:p>
    <w:p>
      <w:pPr>
        <w:pStyle w:val="ListBullet"/>
      </w:pPr>
      <w:hyperlink r:id="rId22">
        <w:r>
          <w:rPr>
            <w:u w:val="single"/>
            <w:color w:val="1F7A4D"/>
          </w:rPr>
          <w:t xml:space="preserve">Bufdir — inkludering av barn og unge</w:t>
        </w:r>
      </w:hyperlink>
    </w:p>
    <w:p>
      <w:pPr>
        <w:pStyle w:val="ListBullet"/>
      </w:pPr>
      <w:hyperlink r:id="rId23">
        <w:r>
          <w:rPr>
            <w:u w:val="single"/>
            <w:color w:val="1F7A4D"/>
          </w:rPr>
          <w:t xml:space="preserve">Sparebankstiftelsen DNB</w:t>
        </w:r>
      </w:hyperlink>
    </w:p>
    <w:p>
      <w:pPr>
        <w:pStyle w:val="ListBullet"/>
      </w:pPr>
      <w:hyperlink r:id="rId24">
        <w:r>
          <w:rPr>
            <w:u w:val="single"/>
            <w:color w:val="1F7A4D"/>
          </w:rPr>
          <w:t xml:space="preserve">NIF — lokale aktivitetsmidler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95959"/>
        <w:sz w:val="17"/>
      </w:rPr>
      <w:t xml:space="preserve">Snooker – For Alle   ·   side </w:t>
    </w:r>
    <w:r>
      <w:rPr>
        <w:color w:val="595959"/>
        <w:sz w:val="17"/>
      </w:rPr>
      <w:fldChar w:fldCharType="begin"/>
    </w:r>
    <w:r>
      <w:rPr>
        <w:color w:val="595959"/>
        <w:sz w:val="17"/>
      </w:rPr>
      <w:instrText xml:space="preserve">PAGE</w:instrText>
    </w:r>
    <w:r>
      <w:rPr>
        <w:color w:val="595959"/>
        <w:sz w:val="17"/>
      </w:rPr>
      <w:fldChar w:fldCharType="end"/>
    </w:r>
    <w:r>
      <w:rPr>
        <w:color w:val="595959"/>
        <w:sz w:val="17"/>
      </w:rPr>
      <w:t xml:space="preserve"> av </w:t>
    </w:r>
    <w:r>
      <w:rPr>
        <w:color w:val="595959"/>
        <w:sz w:val="17"/>
      </w:rPr>
      <w:fldChar w:fldCharType="begin"/>
    </w:r>
    <w:r>
      <w:rPr>
        <w:color w:val="595959"/>
        <w:sz w:val="17"/>
      </w:rPr>
      <w:instrText xml:space="preserve">NUMPAGES</w:instrText>
    </w:r>
    <w:r>
      <w:rPr>
        <w:color w:val="595959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4" w:space="4" w:color="3A6B4A"/>
      </w:pBdr>
    </w:pPr>
    <w:r/>
    <w:r>
      <w:rPr>
        <w:color w:val="595959"/>
        <w:sz w:val="17"/>
      </w:rPr>
      <w:t>Renovering eller tilpassing av lokale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4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4532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3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7A4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24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2F6B4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pageBreakBefore w:val="0"/>
      <w:spacing w:before="200" w:after="4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F6B45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drettsforbundet.no/klubbguiden/drifte-et-idrettslag/okonomi/momskompensasjon/soknad-om-vare--og-tjenestemomskompensasjon-2022/" TargetMode="External"/><Relationship Id="rId12" Type="http://schemas.openxmlformats.org/officeDocument/2006/relationships/hyperlink" Target="https://lottstift.no/for-frivilligheten/sok-momskompensasjon-pa-idrettsanlegg/" TargetMode="External"/><Relationship Id="rId13" Type="http://schemas.openxmlformats.org/officeDocument/2006/relationships/hyperlink" Target="https://www.regjeringen.no/contentassets/558d2c0c093f44b590f16ae6a01c2362/rundskriv-01_26-tilskuddssatser-for-tilskuddsberettigede-anleggstyper-for-soknadsaret-2027.pdf" TargetMode="External"/><Relationship Id="rId14" Type="http://schemas.openxmlformats.org/officeDocument/2006/relationships/hyperlink" Target="https://www.idrettsforbundet.no/klubbguiden/drifte-et-idrettslag/okonomi/stotteordninger/spillemidler-til-utstyr/" TargetMode="External"/><Relationship Id="rId15" Type="http://schemas.openxmlformats.org/officeDocument/2006/relationships/hyperlink" Target="https://www.sparebank1.no/nb/nord-norge/om-oss/samfunnsutbytte/moteplasser.html" TargetMode="External"/><Relationship Id="rId16" Type="http://schemas.openxmlformats.org/officeDocument/2006/relationships/hyperlink" Target="https://stipendportalen.no/organisasjon/2074/tilskudd/2433" TargetMode="External"/><Relationship Id="rId17" Type="http://schemas.openxmlformats.org/officeDocument/2006/relationships/hyperlink" Target="https://www.dibk.no/regelverk/sak/2/4/4-1" TargetMode="External"/><Relationship Id="rId18" Type="http://schemas.openxmlformats.org/officeDocument/2006/relationships/hyperlink" Target="https://www.regjeringen.no/no/dokumenter/bestemmelser-om-kompensasjon-av-merverdiavgift-ved-bygging-av-idrettsanlegg-2026/id3120005/" TargetMode="External"/><Relationship Id="rId19" Type="http://schemas.openxmlformats.org/officeDocument/2006/relationships/hyperlink" Target="https://www.regjeringen.no/no/aktuelt/forskrift-om-tilskudd-til-bygging-og-rehabilitering-av-anlegg-for-idrett-og-fysisk-aktivitet-fra-spilloverskuddet-til-norsk-tipping/id3166004/" TargetMode="External"/><Relationship Id="rId20" Type="http://schemas.openxmlformats.org/officeDocument/2006/relationships/hyperlink" Target="https://www.anleggsregisteret.no/anlegg-for-idrett-og-fysisk-aktivitet/vilkar-og-krav/" TargetMode="External"/><Relationship Id="rId21" Type="http://schemas.openxmlformats.org/officeDocument/2006/relationships/hyperlink" Target="https://lottstift.no/for-frivilligheten/momskompensasjon-pa-varer-og-tjenester/" TargetMode="External"/><Relationship Id="rId22" Type="http://schemas.openxmlformats.org/officeDocument/2006/relationships/hyperlink" Target="https://www.bufdir.no/tilskudd/inkludering-av-barn-og-unge/" TargetMode="External"/><Relationship Id="rId23" Type="http://schemas.openxmlformats.org/officeDocument/2006/relationships/hyperlink" Target="https://sparebankstiftelsen.no/sok-stotte/" TargetMode="External"/><Relationship Id="rId24" Type="http://schemas.openxmlformats.org/officeDocument/2006/relationships/hyperlink" Target="https://www.idrettsforbundet.no/klubbguiden/drifte-et-idrettslag/okonomi/stotteordninger/lokale-aktivitetsmidler-l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