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pBdr>
          <w:bottom w:val="single" w:sz="12" w:space="4" w:color="3A6B4A"/>
        </w:pBdr>
      </w:pPr>
      <w:r>
        <w:rPr>
          <w:b/>
          <w:color w:val="14532D"/>
          <w:sz w:val="52"/>
        </w:rPr>
        <w:t>Plassbehov, lys og oppmerking av snookerbord</w:t>
      </w:r>
    </w:p>
    <w:p>
      <w:pPr>
        <w:spacing w:before="120" w:after="40"/>
      </w:pPr>
      <w:r>
        <w:rPr>
          <w:color w:val="3A6B4A"/>
          <w:sz w:val="25"/>
        </w:rPr>
        <w:t>Hva NBF og WPBSA krever, hva det betyr i kvadratmeter, og hvor punktene skal ligge</w:t>
      </w:r>
    </w:p>
    <w:p>
      <w:pPr>
        <w:spacing w:after="200"/>
      </w:pPr>
      <w:r>
        <w:rPr>
          <w:color w:val="595959"/>
          <w:sz w:val="19"/>
        </w:rPr>
        <w:t>Dato: 2026-08-30   ·   Status: aktiv — tallene er kontrollert, produktrådene er ikke   ·   Eier: Roger</w:t>
      </w:r>
    </w:p>
    <w:p>
      <w:pPr>
        <w:spacing w:before="160" w:after="80"/>
      </w:pPr>
      <w:r>
        <w:rPr>
          <w:b/>
          <w:color w:val="14532D"/>
          <w:sz w:val="26"/>
        </w:rPr>
        <w:t>Innhold</w:t>
      </w:r>
    </w:p>
    <w:p>
      <w:pPr>
        <w:spacing w:after="40" w:line="240" w:lineRule="auto"/>
        <w:ind w:left="283"/>
      </w:pPr>
      <w:hyperlink w:anchor="ovs1">
        <w:r>
          <w:rPr>
            <w:color w:val="2F6B45"/>
            <w:sz w:val="21"/>
          </w:rPr>
          <w:t xml:space="preserve">1. Areal</w:t>
        </w:r>
      </w:hyperlink>
    </w:p>
    <w:p>
      <w:pPr>
        <w:spacing w:after="40" w:line="240" w:lineRule="auto"/>
        <w:ind w:left="283"/>
      </w:pPr>
      <w:hyperlink w:anchor="ovs2">
        <w:r>
          <w:rPr>
            <w:color w:val="2F6B45"/>
            <w:sz w:val="21"/>
          </w:rPr>
          <w:t xml:space="preserve">2. Høyde</w:t>
        </w:r>
      </w:hyperlink>
    </w:p>
    <w:p>
      <w:pPr>
        <w:spacing w:after="40" w:line="240" w:lineRule="auto"/>
        <w:ind w:left="283"/>
      </w:pPr>
      <w:hyperlink w:anchor="ovs3">
        <w:r>
          <w:rPr>
            <w:color w:val="2F6B45"/>
            <w:sz w:val="21"/>
          </w:rPr>
          <w:t xml:space="preserve">3. Lys</w:t>
        </w:r>
      </w:hyperlink>
    </w:p>
    <w:p>
      <w:pPr>
        <w:spacing w:after="40" w:line="240" w:lineRule="auto"/>
        <w:ind w:left="283"/>
      </w:pPr>
      <w:hyperlink w:anchor="ovs4">
        <w:r>
          <w:rPr>
            <w:color w:val="2F6B45"/>
            <w:sz w:val="21"/>
          </w:rPr>
          <w:t xml:space="preserve">4. LED, og spørsmålet om Kina</w:t>
        </w:r>
      </w:hyperlink>
    </w:p>
    <w:p>
      <w:pPr>
        <w:spacing w:after="40" w:line="240" w:lineRule="auto"/>
        <w:ind w:left="283"/>
      </w:pPr>
      <w:hyperlink w:anchor="ovs5">
        <w:r>
          <w:rPr>
            <w:color w:val="2F6B45"/>
            <w:sz w:val="21"/>
          </w:rPr>
          <w:t xml:space="preserve">5. Oppmerking av bordet</w:t>
        </w:r>
      </w:hyperlink>
    </w:p>
    <w:p>
      <w:pPr>
        <w:spacing w:after="40" w:line="240" w:lineRule="auto"/>
        <w:ind w:left="283"/>
      </w:pPr>
      <w:hyperlink w:anchor="ovs6">
        <w:r>
          <w:rPr>
            <w:color w:val="2F6B45"/>
            <w:sz w:val="21"/>
          </w:rPr>
          <w:t xml:space="preserve">6. Sjekkliste før en klubb bestiller bord eller lys</w:t>
        </w:r>
      </w:hyperlink>
    </w:p>
    <w:p>
      <w:pPr>
        <w:spacing w:after="40" w:line="240" w:lineRule="auto"/>
        <w:ind w:left="283"/>
      </w:pPr>
      <w:hyperlink w:anchor="ovs7">
        <w:r>
          <w:rPr>
            <w:color w:val="2F6B45"/>
            <w:sz w:val="21"/>
          </w:rPr>
          <w:t xml:space="preserve">Kilder</w:t>
        </w:r>
      </w:hyperlink>
    </w:p>
    <w:p>
      <w:pPr>
        <w:spacing w:before="80" w:after="240"/>
        <w:pBdr>
          <w:bottom w:val="single" w:sz="4" w:space="4" w:color="3A6B4A"/>
        </w:pBdr>
      </w:pPr>
    </w:p>
    <w:p>
      <w:pPr>
        <w:spacing w:before="160" w:after="40"/>
        <w:jc w:val="center"/>
        <w:pBdr>
          <w:top w:val="single" w:sz="6" w:space="6" w:color="3A6B4A"/>
          <w:left w:val="single" w:sz="6" w:space="6" w:color="3A6B4A"/>
          <w:bottom w:val="single" w:sz="6" w:space="6" w:color="3A6B4A"/>
          <w:right w:val="single" w:sz="6" w:space="6" w:color="3A6B4A"/>
        </w:pBdr>
      </w:pPr>
      <w:r>
        <w:drawing>
          <wp:inline xmlns:a="http://schemas.openxmlformats.org/drawingml/2006/main" xmlns:pic="http://schemas.openxmlformats.org/drawingml/2006/picture">
            <wp:extent cx="5580000" cy="8593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lassbehov-og-lys-snookerbord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859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color w:val="2F6B45"/>
          <w:sz w:val="18"/>
        </w:rPr>
        <w:t>Plassbehov og lys for et 12-fots snookerbord — målsatt riss</w:t>
      </w:r>
    </w:p>
    <w:p>
      <w:r>
        <w:rPr>
          <w:b/>
          <w:i w:val="0"/>
        </w:rPr>
        <w:t>Alle krav under er NBFs egne</w:t>
      </w:r>
      <w:r>
        <w:rPr>
          <w:b w:val="0"/>
          <w:i w:val="0"/>
        </w:rPr>
        <w:t xml:space="preserve">, fra </w:t>
      </w:r>
      <w:r>
        <w:rPr>
          <w:rFonts w:ascii="Consolas" w:hAnsi="Consolas"/>
          <w:b w:val="0"/>
          <w:i w:val="0"/>
          <w:sz w:val="19"/>
        </w:rPr>
        <w:t>Kravspesifikasjoner for biljardbord og anlegg</w:t>
      </w:r>
      <w:r>
        <w:rPr>
          <w:b w:val="0"/>
          <w:i w:val="0"/>
        </w:rPr>
        <w:t>, vedtatt juni 2013. Arealsummene og takhøydene er regnet ut herfra av oss — de står ikke i kravspesifikasjonen selv, og skal kontrolleres mot den før noe bygges.</w:t>
      </w:r>
    </w:p>
    <w:p>
      <w:pPr>
        <w:spacing w:before="120" w:after="200"/>
        <w:pBdr>
          <w:bottom w:val="single" w:sz="4" w:space="4" w:color="C6D9CC"/>
        </w:pBdr>
      </w:pPr>
    </w:p>
    <w:p>
      <w:bookmarkStart w:id="1000" w:name="ovs1"/>
      <w:pPr>
        <w:pStyle w:val="Heading2"/>
        <w:pBdr>
          <w:bottom w:val="single" w:sz="4" w:space="4" w:color="C6D9CC"/>
        </w:pBdr>
      </w:pPr>
      <w:r>
        <w:rPr>
          <w:b/>
          <w:i w:val="0"/>
          <w:color w:val="1F7A4D"/>
          <w:sz w:val="28"/>
        </w:rPr>
        <w:t>1. Areal</w:t>
      </w:r>
      <w:bookmarkEnd w:id="1000"/>
    </w:p>
    <w:p>
      <w:r>
        <w:rPr>
          <w:b/>
          <w:i w:val="0"/>
        </w:rPr>
        <w:t>Bordets yttermål, 12 fot: 3,83 × 2,04 m.</w:t>
      </w:r>
      <w:r>
        <w:rPr>
          <w:b w:val="0"/>
          <w:i w:val="0"/>
        </w:rPr>
        <w:t xml:space="preserve"> Tallet er Rassons, oppgitt av Spelbord.se. Andre fabrikater avviker med noen centimeter — mål det bordet klubben faktisk kjøper.</w:t>
      </w:r>
    </w:p>
    <w:p>
      <w:r>
        <w:rPr>
          <w:b/>
          <w:i w:val="0"/>
        </w:rPr>
        <w:t>NBF § 14: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24" w:space="0" w:color="3A6B4A"/>
          <w:top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072"/>
      </w:tblGrid>
      <w:tr>
        <w:tc>
          <w:tcPr>
            <w:tcW w:type="dxa" w:w="9072"/>
            <w:shd w:val="clear" w:color="auto" w:fill="E9F2EC"/>
          </w:tcPr>
          <w:p>
            <w:pPr>
              <w:spacing w:before="100" w:after="100"/>
            </w:pPr>
            <w:r/>
            <w:r>
              <w:rPr>
                <w:b w:val="0"/>
                <w:i w:val="0"/>
                <w:color w:val="14532D"/>
              </w:rPr>
              <w:t>Norges Biljardforbund sitt minstekrav til avstand er 1,83 m i horisontal linje ut fra biljardbordets yttersider til vegg eller annen fastmontert hindring. Avstand mellom biljardbord og biljardbord må være minimum 1,50 m.</w:t>
            </w:r>
          </w:p>
          <w:p>
            <w:pPr>
              <w:spacing w:after="0"/>
            </w:pPr>
          </w:p>
        </w:tc>
      </w:tr>
    </w:tbl>
    <w:p>
      <w:pPr>
        <w:spacing w:after="120"/>
      </w:pP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  <w:tblBorders>
          <w:top w:val="single" w:sz="8" w:space="0" w:color="3A6B4A"/>
          <w:left w:val="single" w:sz="4" w:space="0" w:color="3A6B4A"/>
          <w:bottom w:val="single" w:sz="8" w:space="0" w:color="3A6B4A"/>
          <w:right w:val="single" w:sz="4" w:space="0" w:color="3A6B4A"/>
          <w:insideH w:val="single" w:sz="4" w:space="0" w:color="3A6B4A"/>
          <w:insideV w:val="single" w:sz="4" w:space="0" w:color="3A6B4A"/>
        </w:tblBorders>
      </w:tblPr>
      <w:tblGrid>
        <w:gridCol w:w="3024"/>
        <w:gridCol w:w="3024"/>
        <w:gridCol w:w="3024"/>
      </w:tblGrid>
      <w:tr>
        <w:trPr>
          <w:cantSplit/>
          <w:tblHeader w:val="true"/>
        </w:trPr>
        <w:tc>
          <w:tcPr>
            <w:tcW w:type="dxa" w:w="3024"/>
            <w:shd w:val="clear" w:color="auto" w:fill="E9F2EC"/>
          </w:tcPr>
          <w:p>
            <w:pPr>
              <w:spacing w:before="60" w:after="60"/>
            </w:pPr>
            <w:r>
              <w:rPr>
                <w:b/>
              </w:rPr>
            </w:r>
            <w:r>
              <w:rPr>
                <w:b/>
                <w:i w:val="0"/>
                <w:color w:val="14532D"/>
                <w:sz w:val="21"/>
              </w:rPr>
              <w:t>Antall bord</w:t>
            </w:r>
          </w:p>
        </w:tc>
        <w:tc>
          <w:tcPr>
            <w:tcW w:type="dxa" w:w="3024"/>
            <w:shd w:val="clear" w:color="auto" w:fill="E9F2EC"/>
          </w:tcPr>
          <w:p>
            <w:pPr>
              <w:spacing w:before="60" w:after="60"/>
            </w:pPr>
            <w:r>
              <w:rPr>
                <w:b/>
              </w:rPr>
            </w:r>
            <w:r>
              <w:rPr>
                <w:b/>
                <w:i w:val="0"/>
                <w:color w:val="14532D"/>
                <w:sz w:val="21"/>
              </w:rPr>
              <w:t>Rommet må være minst</w:t>
            </w:r>
          </w:p>
        </w:tc>
        <w:tc>
          <w:tcPr>
            <w:tcW w:type="dxa" w:w="3024"/>
            <w:shd w:val="clear" w:color="auto" w:fill="E9F2EC"/>
          </w:tcPr>
          <w:p>
            <w:pPr>
              <w:spacing w:before="60" w:after="60"/>
            </w:pPr>
            <w:r>
              <w:rPr>
                <w:b/>
              </w:rPr>
            </w:r>
            <w:r>
              <w:rPr>
                <w:b/>
                <w:i w:val="0"/>
                <w:color w:val="14532D"/>
                <w:sz w:val="21"/>
              </w:rPr>
              <w:t>Areal</w:t>
            </w:r>
          </w:p>
        </w:tc>
      </w:tr>
      <w:tr>
        <w:trPr>
          <w:cantSplit/>
        </w:trPr>
        <w:tc>
          <w:tcPr>
            <w:tcW w:type="dxa" w:w="3024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1</w:t>
            </w:r>
          </w:p>
        </w:tc>
        <w:tc>
          <w:tcPr>
            <w:tcW w:type="dxa" w:w="3024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7,49 × 5,70 m</w:t>
            </w:r>
          </w:p>
        </w:tc>
        <w:tc>
          <w:tcPr>
            <w:tcW w:type="dxa" w:w="3024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/>
                <w:i w:val="0"/>
                <w:sz w:val="21"/>
              </w:rPr>
              <w:t>42,7 m²</w:t>
            </w:r>
          </w:p>
        </w:tc>
      </w:tr>
      <w:tr>
        <w:trPr>
          <w:cantSplit/>
        </w:trPr>
        <w:tc>
          <w:tcPr>
            <w:tcW w:type="dxa" w:w="3024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2</w:t>
            </w:r>
          </w:p>
        </w:tc>
        <w:tc>
          <w:tcPr>
            <w:tcW w:type="dxa" w:w="3024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7,49 × 9,24 m</w:t>
            </w:r>
          </w:p>
        </w:tc>
        <w:tc>
          <w:tcPr>
            <w:tcW w:type="dxa" w:w="3024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/>
                <w:i w:val="0"/>
                <w:sz w:val="21"/>
              </w:rPr>
              <w:t>69,2 m²</w:t>
            </w:r>
          </w:p>
        </w:tc>
      </w:tr>
      <w:tr>
        <w:trPr>
          <w:cantSplit/>
        </w:trPr>
        <w:tc>
          <w:tcPr>
            <w:tcW w:type="dxa" w:w="3024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3</w:t>
            </w:r>
          </w:p>
        </w:tc>
        <w:tc>
          <w:tcPr>
            <w:tcW w:type="dxa" w:w="3024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7,49 × 12,78 m</w:t>
            </w:r>
          </w:p>
        </w:tc>
        <w:tc>
          <w:tcPr>
            <w:tcW w:type="dxa" w:w="3024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/>
                <w:i w:val="0"/>
                <w:sz w:val="21"/>
              </w:rPr>
              <w:t>95,7 m²</w:t>
            </w:r>
          </w:p>
        </w:tc>
      </w:tr>
    </w:tbl>
    <w:p>
      <w:pPr>
        <w:spacing w:after="120"/>
      </w:pPr>
    </w:p>
    <w:p>
      <w:r>
        <w:rPr>
          <w:b w:val="0"/>
          <w:i w:val="0"/>
        </w:rPr>
        <w:t>Bordene stilt side ved side med kortsidene mot samme vegg. Snus de, bytter tallene plass.</w:t>
      </w:r>
    </w:p>
    <w:p>
      <w:r>
        <w:rPr>
          <w:b/>
          <w:i w:val="0"/>
        </w:rPr>
        <w:t>Hvorfor 1,83 m ikke er rundhåndet:</w:t>
      </w:r>
      <w:r>
        <w:rPr>
          <w:b w:val="0"/>
          <w:i w:val="0"/>
        </w:rPr>
        <w:t xml:space="preserve"> en full snookerkø er om lag 145 cm. Kravet gir knapt 40 cm til kroppen bak køen. Det er et minimum, ikke en komfort.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24" w:space="0" w:color="3A6B4A"/>
          <w:top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072"/>
      </w:tblGrid>
      <w:tr>
        <w:tc>
          <w:tcPr>
            <w:tcW w:type="dxa" w:w="9072"/>
            <w:shd w:val="clear" w:color="auto" w:fill="E9F2EC"/>
          </w:tcPr>
          <w:p>
            <w:pPr>
              <w:spacing w:before="100" w:after="80"/>
            </w:pPr>
            <w:r/>
            <w:r>
              <w:rPr>
                <w:b/>
                <w:i w:val="0"/>
                <w:color w:val="14532D"/>
              </w:rPr>
              <w:t>«Annen fastmontert hindring» betyr flere ting enn vegg</w:t>
            </w:r>
          </w:p>
          <w:p>
            <w:pPr>
              <w:spacing w:before="100" w:after="100"/>
            </w:pPr>
            <w:r>
              <w:rPr>
                <w:b w:val="0"/>
                <w:i w:val="0"/>
                <w:color w:val="14532D"/>
              </w:rPr>
              <w:t>Søyler, radiatorer, dører som slår innover, ventilasjonskanaler, brannslanger og faste benker teller. Et rom som måler riktig på gulvplanet kan likevel ikke godkjennes.</w:t>
            </w:r>
          </w:p>
          <w:p>
            <w:pPr>
              <w:spacing w:after="0"/>
            </w:pPr>
          </w:p>
        </w:tc>
      </w:tr>
    </w:tbl>
    <w:p>
      <w:pPr>
        <w:spacing w:after="120"/>
      </w:pPr>
    </w:p>
    <w:p>
      <w:pPr>
        <w:spacing w:before="120" w:after="200"/>
        <w:pBdr>
          <w:bottom w:val="single" w:sz="4" w:space="4" w:color="C6D9CC"/>
        </w:pBdr>
      </w:pPr>
    </w:p>
    <w:p>
      <w:bookmarkStart w:id="1001" w:name="ovs2"/>
      <w:pPr>
        <w:pStyle w:val="Heading2"/>
        <w:pBdr>
          <w:bottom w:val="single" w:sz="4" w:space="4" w:color="C6D9CC"/>
        </w:pBdr>
      </w:pPr>
      <w:r>
        <w:rPr>
          <w:b/>
          <w:i w:val="0"/>
          <w:color w:val="1F7A4D"/>
          <w:sz w:val="28"/>
        </w:rPr>
        <w:t>2. Høyde</w:t>
      </w:r>
      <w:bookmarkEnd w:id="1001"/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  <w:tblBorders>
          <w:top w:val="single" w:sz="8" w:space="0" w:color="3A6B4A"/>
          <w:left w:val="single" w:sz="4" w:space="0" w:color="3A6B4A"/>
          <w:bottom w:val="single" w:sz="8" w:space="0" w:color="3A6B4A"/>
          <w:right w:val="single" w:sz="4" w:space="0" w:color="3A6B4A"/>
          <w:insideH w:val="single" w:sz="4" w:space="0" w:color="3A6B4A"/>
          <w:insideV w:val="single" w:sz="4" w:space="0" w:color="3A6B4A"/>
        </w:tblBorders>
      </w:tblPr>
      <w:tblGrid>
        <w:gridCol w:w="4536"/>
        <w:gridCol w:w="4536"/>
      </w:tblGrid>
      <w:tr>
        <w:trPr>
          <w:cantSplit/>
          <w:tblHeader w:val="true"/>
        </w:trPr>
        <w:tc>
          <w:tcPr>
            <w:tcW w:type="dxa" w:w="4536"/>
            <w:shd w:val="clear" w:color="auto" w:fill="E9F2EC"/>
          </w:tcPr>
          <w:p>
            <w:pPr>
              <w:spacing w:before="60" w:after="60"/>
            </w:pPr>
            <w:r>
              <w:rPr>
                <w:b/>
              </w:rPr>
            </w:r>
            <w:r>
              <w:rPr>
                <w:b/>
                <w:i w:val="0"/>
                <w:color w:val="14532D"/>
                <w:sz w:val="21"/>
              </w:rPr>
              <w:t>Spilleflatens høyde (§ 3)</w:t>
            </w:r>
          </w:p>
        </w:tc>
        <w:tc>
          <w:tcPr>
            <w:tcW w:type="dxa" w:w="4536"/>
            <w:shd w:val="clear" w:color="auto" w:fill="E9F2EC"/>
          </w:tcPr>
          <w:p>
            <w:pPr>
              <w:spacing w:before="60" w:after="60"/>
            </w:pPr>
            <w:r>
              <w:rPr>
                <w:b/>
              </w:rPr>
            </w:r>
            <w:r>
              <w:rPr>
                <w:b/>
                <w:i w:val="0"/>
                <w:color w:val="14532D"/>
                <w:sz w:val="21"/>
              </w:rPr>
              <w:t>74,3–78,7 cm</w:t>
            </w:r>
          </w:p>
        </w:tc>
      </w:tr>
      <w:tr>
        <w:trPr>
          <w:cantSplit/>
        </w:trPr>
        <w:tc>
          <w:tcPr>
            <w:tcW w:type="dxa" w:w="453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/>
                <w:i w:val="0"/>
                <w:sz w:val="21"/>
              </w:rPr>
              <w:t>Fastmontert</w:t>
            </w:r>
            <w:r>
              <w:rPr>
                <w:b w:val="0"/>
                <w:i w:val="0"/>
                <w:sz w:val="21"/>
              </w:rPr>
              <w:t xml:space="preserve"> armatur, minimum over spilleflaten (§ 13)</w:t>
            </w:r>
          </w:p>
        </w:tc>
        <w:tc>
          <w:tcPr>
            <w:tcW w:type="dxa" w:w="453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/>
                <w:i w:val="0"/>
                <w:sz w:val="21"/>
              </w:rPr>
              <w:t>1,65 m</w:t>
            </w:r>
          </w:p>
        </w:tc>
      </w:tr>
      <w:tr>
        <w:trPr>
          <w:cantSplit/>
        </w:trPr>
        <w:tc>
          <w:tcPr>
            <w:tcW w:type="dxa" w:w="4536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 xml:space="preserve">Armatur </w:t>
            </w:r>
            <w:r>
              <w:rPr>
                <w:b/>
                <w:i w:val="0"/>
                <w:sz w:val="21"/>
              </w:rPr>
              <w:t>som kan dras til side av dommer</w:t>
            </w:r>
            <w:r>
              <w:rPr>
                <w:b w:val="0"/>
                <w:i w:val="0"/>
                <w:sz w:val="21"/>
              </w:rPr>
              <w:t xml:space="preserve"> (§ 13)</w:t>
            </w:r>
          </w:p>
        </w:tc>
        <w:tc>
          <w:tcPr>
            <w:tcW w:type="dxa" w:w="4536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/>
                <w:i w:val="0"/>
                <w:sz w:val="21"/>
              </w:rPr>
              <w:t>1,016 m</w:t>
            </w:r>
          </w:p>
        </w:tc>
      </w:tr>
    </w:tbl>
    <w:p>
      <w:pPr>
        <w:spacing w:after="120"/>
      </w:pPr>
    </w:p>
    <w:p>
      <w:r>
        <w:rPr>
          <w:b w:val="0"/>
          <w:i w:val="0"/>
        </w:rPr>
        <w:t xml:space="preserve">Regnet ut fra dette, med spilleflate på 79 cm: underkant av </w:t>
      </w:r>
      <w:r>
        <w:rPr>
          <w:b/>
          <w:i w:val="0"/>
        </w:rPr>
        <w:t>fast</w:t>
      </w:r>
      <w:r>
        <w:rPr>
          <w:b w:val="0"/>
          <w:i w:val="0"/>
        </w:rPr>
        <w:t xml:space="preserve"> armatur må ligge minst </w:t>
      </w:r>
      <w:r>
        <w:rPr>
          <w:b/>
          <w:i w:val="0"/>
        </w:rPr>
        <w:t>2,44 m over gulv</w:t>
      </w:r>
      <w:r>
        <w:rPr>
          <w:b w:val="0"/>
          <w:i w:val="0"/>
        </w:rPr>
        <w:t>. Legg til armaturens egen høyde og oppheng, og rommet trenger i praksis rundt 2,6–2,8 m under taket.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24" w:space="0" w:color="3A6B4A"/>
          <w:top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072"/>
      </w:tblGrid>
      <w:tr>
        <w:tc>
          <w:tcPr>
            <w:tcW w:type="dxa" w:w="9072"/>
            <w:shd w:val="clear" w:color="auto" w:fill="E9F2EC"/>
          </w:tcPr>
          <w:p>
            <w:pPr>
              <w:spacing w:before="100" w:after="80"/>
            </w:pPr>
            <w:r/>
            <w:r>
              <w:rPr>
                <w:b/>
                <w:i w:val="0"/>
                <w:color w:val="14532D"/>
              </w:rPr>
              <w:t>Dette er fella, og den er lett å gå i</w:t>
            </w:r>
          </w:p>
          <w:p>
            <w:pPr>
              <w:spacing w:before="100" w:after="100"/>
            </w:pPr>
            <w:r>
              <w:rPr>
                <w:b w:val="0"/>
                <w:i w:val="0"/>
                <w:color w:val="14532D"/>
              </w:rPr>
              <w:t xml:space="preserve">Produsenter av snookerarmatur anbefaler ofte </w:t>
            </w:r>
            <w:r>
              <w:rPr>
                <w:b/>
                <w:i w:val="0"/>
                <w:color w:val="14532D"/>
              </w:rPr>
              <w:t>115 cm over duken</w:t>
            </w:r>
            <w:r>
              <w:rPr>
                <w:b w:val="0"/>
                <w:i w:val="0"/>
                <w:color w:val="14532D"/>
              </w:rPr>
              <w:t>. Det tallet gjelder armatur som kan dras til side, eller perimeterløsninger.</w:t>
            </w:r>
          </w:p>
          <w:p>
            <w:pPr>
              <w:spacing w:before="100" w:after="100"/>
            </w:pPr>
            <w:r>
              <w:rPr>
                <w:b/>
                <w:i w:val="0"/>
                <w:color w:val="14532D"/>
              </w:rPr>
              <w:t>Henger klubben en fast LED-bjelke på 115 cm, er den under NBFs krav.</w:t>
            </w:r>
            <w:r>
              <w:rPr>
                <w:b w:val="0"/>
                <w:i w:val="0"/>
                <w:color w:val="14532D"/>
              </w:rPr>
              <w:t xml:space="preserve"> Spillerne slår i armaturen når de strekker seg over bordet, og bordet er ikke godkjent for organisert turneringsspill.</w:t>
            </w:r>
          </w:p>
          <w:p>
            <w:pPr>
              <w:spacing w:before="100" w:after="100"/>
            </w:pPr>
            <w:r>
              <w:rPr>
                <w:b w:val="0"/>
                <w:i w:val="0"/>
                <w:color w:val="14532D"/>
              </w:rPr>
              <w:t>Fast lys: 1,65 m. Flyttbart: 1,016 m. Velg først hvilken type, så høyden.</w:t>
            </w:r>
          </w:p>
          <w:p>
            <w:pPr>
              <w:spacing w:after="0"/>
            </w:pPr>
          </w:p>
        </w:tc>
      </w:tr>
    </w:tbl>
    <w:p>
      <w:pPr>
        <w:spacing w:after="120"/>
      </w:pPr>
    </w:p>
    <w:p>
      <w:pPr>
        <w:spacing w:before="120" w:after="200"/>
        <w:pBdr>
          <w:bottom w:val="single" w:sz="4" w:space="4" w:color="C6D9CC"/>
        </w:pBdr>
      </w:pPr>
    </w:p>
    <w:p>
      <w:bookmarkStart w:id="1002" w:name="ovs3"/>
      <w:pPr>
        <w:pStyle w:val="Heading2"/>
        <w:pBdr>
          <w:bottom w:val="single" w:sz="4" w:space="4" w:color="C6D9CC"/>
        </w:pBdr>
      </w:pPr>
      <w:r>
        <w:rPr>
          <w:b/>
          <w:i w:val="0"/>
          <w:color w:val="1F7A4D"/>
          <w:sz w:val="28"/>
        </w:rPr>
        <w:t>3. Lys</w:t>
      </w:r>
      <w:bookmarkEnd w:id="1002"/>
    </w:p>
    <w:p>
      <w:r>
        <w:rPr>
          <w:b/>
          <w:i w:val="0"/>
        </w:rPr>
        <w:t>NBF § 13:</w:t>
      </w:r>
    </w:p>
    <w:p>
      <w:pPr>
        <w:pStyle w:val="ListBullet"/>
      </w:pPr>
      <w:r>
        <w:rPr>
          <w:b w:val="0"/>
          <w:i w:val="0"/>
        </w:rPr>
        <w:t xml:space="preserve">Minst </w:t>
      </w:r>
      <w:r>
        <w:rPr>
          <w:b/>
          <w:i w:val="0"/>
        </w:rPr>
        <w:t>520 lux</w:t>
      </w:r>
      <w:r>
        <w:rPr>
          <w:b w:val="0"/>
          <w:i w:val="0"/>
        </w:rPr>
        <w:t xml:space="preserve"> over hele spilleflaten og vantene</w:t>
      </w:r>
    </w:p>
    <w:p>
      <w:pPr>
        <w:pStyle w:val="ListBullet"/>
      </w:pPr>
      <w:r>
        <w:rPr>
          <w:b w:val="0"/>
          <w:i w:val="0"/>
        </w:rPr>
        <w:t>Reflektorskjerm anbefales, så lyset fordeles likt</w:t>
      </w:r>
    </w:p>
    <w:p>
      <w:pPr>
        <w:pStyle w:val="ListBullet"/>
      </w:pPr>
      <w:r>
        <w:rPr>
          <w:b w:val="0"/>
          <w:i w:val="0"/>
        </w:rPr>
        <w:t xml:space="preserve">Blending starter ved </w:t>
      </w:r>
      <w:r>
        <w:rPr>
          <w:b/>
          <w:i w:val="0"/>
        </w:rPr>
        <w:t>5000 lux</w:t>
      </w:r>
      <w:r>
        <w:rPr>
          <w:b w:val="0"/>
          <w:i w:val="0"/>
        </w:rPr>
        <w:t xml:space="preserve"> rett inn i spillerens øyne</w:t>
      </w:r>
    </w:p>
    <w:p>
      <w:pPr>
        <w:pStyle w:val="ListBullet"/>
      </w:pPr>
      <w:r>
        <w:rPr>
          <w:b w:val="0"/>
          <w:i w:val="0"/>
        </w:rPr>
        <w:t xml:space="preserve">Øvrig areal i lokalet: minst </w:t>
      </w:r>
      <w:r>
        <w:rPr>
          <w:b/>
          <w:i w:val="0"/>
        </w:rPr>
        <w:t>50 lux</w:t>
      </w:r>
    </w:p>
    <w:p>
      <w:r>
        <w:rPr>
          <w:b/>
          <w:i w:val="0"/>
        </w:rPr>
        <w:t>Britisk bransjenorm</w:t>
      </w:r>
      <w:r>
        <w:rPr>
          <w:b w:val="0"/>
          <w:i w:val="0"/>
        </w:rPr>
        <w:t xml:space="preserve"> (CIBSE og Sport England LG4, for breddenivå): 500 lux med </w:t>
      </w:r>
      <w:r>
        <w:rPr>
          <w:b/>
          <w:i w:val="0"/>
        </w:rPr>
        <w:t>jevnhet 0,8</w:t>
      </w:r>
      <w:r>
        <w:rPr>
          <w:b w:val="0"/>
          <w:i w:val="0"/>
        </w:rPr>
        <w:t>. Jevnhet er forholdet mellom laveste og gjennomsnittlige lysnivå.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24" w:space="0" w:color="3A6B4A"/>
          <w:top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072"/>
      </w:tblGrid>
      <w:tr>
        <w:tc>
          <w:tcPr>
            <w:tcW w:type="dxa" w:w="9072"/>
            <w:shd w:val="clear" w:color="auto" w:fill="E9F2EC"/>
          </w:tcPr>
          <w:p>
            <w:pPr>
              <w:spacing w:before="100" w:after="80"/>
            </w:pPr>
            <w:r/>
            <w:r>
              <w:rPr>
                <w:b/>
                <w:i w:val="0"/>
                <w:color w:val="14532D"/>
              </w:rPr>
              <w:t>Jevnhet slår styrke</w:t>
            </w:r>
          </w:p>
          <w:p>
            <w:pPr>
              <w:spacing w:before="100" w:after="100"/>
            </w:pPr>
            <w:r>
              <w:rPr>
                <w:b w:val="0"/>
                <w:i w:val="0"/>
                <w:color w:val="14532D"/>
              </w:rPr>
              <w:t>Et sterkt punktlys kan gi 800 lux midt på bordet og likevel gi skygge i hjørnehullene. Det er skyggene som ødelegger spillet, ikke luxtallet i midten.</w:t>
            </w:r>
          </w:p>
          <w:p>
            <w:pPr>
              <w:spacing w:before="100" w:after="100"/>
            </w:pPr>
            <w:r>
              <w:rPr>
                <w:b w:val="0"/>
                <w:i w:val="0"/>
                <w:color w:val="14532D"/>
              </w:rPr>
              <w:t xml:space="preserve">Ved innhenting av tilbud: be om </w:t>
            </w:r>
            <w:r>
              <w:rPr>
                <w:b/>
                <w:i w:val="0"/>
                <w:color w:val="14532D"/>
              </w:rPr>
              <w:t>520 lux og jevnhet 0,8</w:t>
            </w:r>
            <w:r>
              <w:rPr>
                <w:b w:val="0"/>
                <w:i w:val="0"/>
                <w:color w:val="14532D"/>
              </w:rPr>
              <w:t xml:space="preserve">, ikke bare watt. Be også om </w:t>
            </w:r>
            <w:r>
              <w:rPr>
                <w:b/>
                <w:i w:val="0"/>
                <w:color w:val="14532D"/>
              </w:rPr>
              <w:t>UGR 19 eller lavere</w:t>
            </w:r>
            <w:r>
              <w:rPr>
                <w:b w:val="0"/>
                <w:i w:val="0"/>
                <w:color w:val="14532D"/>
              </w:rPr>
              <w:t xml:space="preserve"> — UGR er målet på blendingsubehag, og 19 er nivået man krever ved dataarbeid.</w:t>
            </w:r>
          </w:p>
          <w:p>
            <w:pPr>
              <w:spacing w:after="0"/>
            </w:pPr>
          </w:p>
        </w:tc>
      </w:tr>
    </w:tbl>
    <w:p>
      <w:pPr>
        <w:spacing w:after="120"/>
      </w:pPr>
    </w:p>
    <w:p>
      <w:pPr>
        <w:spacing w:before="120" w:after="200"/>
        <w:pBdr>
          <w:bottom w:val="single" w:sz="4" w:space="4" w:color="C6D9CC"/>
        </w:pBdr>
      </w:pPr>
    </w:p>
    <w:p>
      <w:bookmarkStart w:id="1003" w:name="ovs4"/>
      <w:pPr>
        <w:pStyle w:val="Heading2"/>
        <w:pBdr>
          <w:bottom w:val="single" w:sz="4" w:space="4" w:color="C6D9CC"/>
        </w:pBdr>
      </w:pPr>
      <w:r>
        <w:rPr>
          <w:b/>
          <w:i w:val="0"/>
          <w:color w:val="1F7A4D"/>
          <w:sz w:val="28"/>
        </w:rPr>
        <w:t>4. LED, og spørsmålet om Kina</w:t>
      </w:r>
      <w:bookmarkEnd w:id="1003"/>
    </w:p>
    <w:p>
      <w:r>
        <w:rPr>
          <w:b w:val="0"/>
          <w:i w:val="0"/>
        </w:rPr>
        <w:t xml:space="preserve">Det finnes billige LED-armaturer for biljardbord fra kinesiske produsenter. På Alibaba oppgis priser fra rundt </w:t>
      </w:r>
      <w:r>
        <w:rPr>
          <w:b/>
          <w:i w:val="0"/>
        </w:rPr>
        <w:t>12,80 USD</w:t>
      </w:r>
      <w:r>
        <w:rPr>
          <w:b w:val="0"/>
          <w:i w:val="0"/>
        </w:rPr>
        <w:t xml:space="preserve"> og oppover, med effekt fra 30 til 120 W, Ra90 fargegjengivelse, 50 000 timers levetid, 110–240 V, og minsteordre helt ned til én enhet.</w:t>
      </w:r>
    </w:p>
    <w:p>
      <w:r>
        <w:rPr>
          <w:b/>
          <w:i w:val="0"/>
        </w:rPr>
        <w:t>Men to forbehold, og de er ikke formaliteter:</w:t>
      </w:r>
    </w:p>
    <w:p>
      <w:r>
        <w:rPr>
          <w:b/>
          <w:i w:val="0"/>
        </w:rPr>
        <w:t>Størrelsen finnes knapt.</w:t>
      </w:r>
      <w:r>
        <w:rPr>
          <w:b w:val="0"/>
          <w:i w:val="0"/>
        </w:rPr>
        <w:t xml:space="preserve"> Utvalget er dominert av 4 til 8 fot — altså pool. Armatur beregnet på </w:t>
      </w:r>
      <w:r>
        <w:rPr>
          <w:b/>
          <w:i w:val="0"/>
        </w:rPr>
        <w:t>12 fot</w:t>
      </w:r>
      <w:r>
        <w:rPr>
          <w:b w:val="0"/>
          <w:i w:val="0"/>
        </w:rPr>
        <w:t xml:space="preserve"> er ikke framtredende i det billige segmentet. Et snookerbord er dobbelt så langt som et engelsk poolbord, og en armatur som gir jevnt lys over 3,57 m er et annet produkt enn en som dekker 1,8 m.</w:t>
      </w:r>
    </w:p>
    <w:p>
      <w:r>
        <w:rPr>
          <w:b/>
          <w:i w:val="0"/>
        </w:rPr>
        <w:t>Elsikkerhet er ikke et sted å spare.</w:t>
      </w:r>
      <w:r>
        <w:rPr>
          <w:b w:val="0"/>
          <w:i w:val="0"/>
        </w:rPr>
        <w:t xml:space="preserve"> En armatur i et klubblokale er en fast installasjon i et forsamlingslokale, ikke en lampe i en stue.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24" w:space="0" w:color="3A6B4A"/>
          <w:top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072"/>
      </w:tblGrid>
      <w:tr>
        <w:tc>
          <w:tcPr>
            <w:tcW w:type="dxa" w:w="9072"/>
            <w:shd w:val="clear" w:color="auto" w:fill="E9F2EC"/>
          </w:tcPr>
          <w:p>
            <w:pPr>
              <w:spacing w:before="100" w:after="80"/>
            </w:pPr>
            <w:r/>
            <w:r>
              <w:rPr>
                <w:b/>
                <w:i w:val="0"/>
                <w:color w:val="14532D"/>
              </w:rPr>
              <w:t>Dette må avklares før noe bestilles fra utlandet</w:t>
            </w:r>
          </w:p>
          <w:p>
            <w:pPr>
              <w:spacing w:before="20" w:after="20"/>
              <w:ind w:left="510" w:hanging="369"/>
            </w:pPr>
            <w:r>
              <w:rPr>
                <w:color w:val="14532D"/>
              </w:rPr>
              <w:t xml:space="preserve">• </w:t>
            </w:r>
            <w:r>
              <w:rPr>
                <w:b w:val="0"/>
                <w:i w:val="0"/>
                <w:color w:val="14532D"/>
              </w:rPr>
              <w:t xml:space="preserve">Er armaturen </w:t>
            </w:r>
            <w:r>
              <w:rPr>
                <w:b/>
                <w:i w:val="0"/>
                <w:color w:val="14532D"/>
              </w:rPr>
              <w:t>CE-merket</w:t>
            </w:r>
            <w:r>
              <w:rPr>
                <w:b w:val="0"/>
                <w:i w:val="0"/>
                <w:color w:val="14532D"/>
              </w:rPr>
              <w:t xml:space="preserve"> og dokumentert for det norske nettet?</w:t>
            </w:r>
          </w:p>
          <w:p>
            <w:pPr>
              <w:spacing w:before="20" w:after="20"/>
              <w:ind w:left="510" w:hanging="369"/>
            </w:pPr>
            <w:r>
              <w:rPr>
                <w:color w:val="14532D"/>
              </w:rPr>
              <w:t xml:space="preserve">• </w:t>
            </w:r>
            <w:r>
              <w:rPr>
                <w:b w:val="0"/>
                <w:i w:val="0"/>
                <w:color w:val="14532D"/>
              </w:rPr>
              <w:t xml:space="preserve">Hvem gjør </w:t>
            </w:r>
            <w:r>
              <w:rPr>
                <w:b/>
                <w:i w:val="0"/>
                <w:color w:val="14532D"/>
              </w:rPr>
              <w:t>installasjonen</w:t>
            </w:r>
            <w:r>
              <w:rPr>
                <w:b w:val="0"/>
                <w:i w:val="0"/>
                <w:color w:val="14532D"/>
              </w:rPr>
              <w:t>? Fast elektrisk installasjon i klubblokale er ikke gjør-det-selv-arbeid</w:t>
            </w:r>
          </w:p>
          <w:p>
            <w:pPr>
              <w:spacing w:before="20" w:after="20"/>
              <w:ind w:left="510" w:hanging="369"/>
            </w:pPr>
            <w:r>
              <w:rPr>
                <w:color w:val="14532D"/>
              </w:rPr>
              <w:t xml:space="preserve">• </w:t>
            </w:r>
            <w:r>
              <w:rPr>
                <w:b w:val="0"/>
                <w:i w:val="0"/>
                <w:color w:val="14532D"/>
              </w:rPr>
              <w:t xml:space="preserve">Hva sier </w:t>
            </w:r>
            <w:r>
              <w:rPr>
                <w:b/>
                <w:i w:val="0"/>
                <w:color w:val="14532D"/>
              </w:rPr>
              <w:t>forsikringen</w:t>
            </w:r>
            <w:r>
              <w:rPr>
                <w:b w:val="0"/>
                <w:i w:val="0"/>
                <w:color w:val="14532D"/>
              </w:rPr>
              <w:t>? En brann med utspring i uautorisert utstyr eller uautorisert montasje er den typen sak et forsikringsselskap ser nøye på</w:t>
            </w:r>
          </w:p>
          <w:p>
            <w:pPr>
              <w:spacing w:before="20" w:after="20"/>
              <w:ind w:left="510" w:hanging="369"/>
            </w:pPr>
            <w:r>
              <w:rPr>
                <w:color w:val="14532D"/>
              </w:rPr>
              <w:t xml:space="preserve">• </w:t>
            </w:r>
            <w:r>
              <w:rPr>
                <w:b w:val="0"/>
                <w:i w:val="0"/>
                <w:color w:val="14532D"/>
              </w:rPr>
              <w:t xml:space="preserve">Hvem har </w:t>
            </w:r>
            <w:r>
              <w:rPr>
                <w:b/>
                <w:i w:val="0"/>
                <w:color w:val="14532D"/>
              </w:rPr>
              <w:t>ansvaret</w:t>
            </w:r>
            <w:r>
              <w:rPr>
                <w:b w:val="0"/>
                <w:i w:val="0"/>
                <w:color w:val="14532D"/>
              </w:rPr>
              <w:t xml:space="preserve"> hvis noe skjer — klubben, styret, eller den som hengte den opp?</w:t>
            </w:r>
          </w:p>
          <w:p>
            <w:pPr>
              <w:spacing w:before="100" w:after="100"/>
            </w:pPr>
            <w:r>
              <w:rPr>
                <w:b/>
                <w:i w:val="0"/>
                <w:color w:val="14532D"/>
              </w:rPr>
              <w:t>Vi gir ikke råd om dette.</w:t>
            </w:r>
            <w:r>
              <w:rPr>
                <w:b w:val="0"/>
                <w:i w:val="0"/>
                <w:color w:val="14532D"/>
              </w:rPr>
              <w:t xml:space="preserve"> Spør en registrert elvirksomhet og forsikrings- selskapet før klubben bestiller. Prisforskjellen mot et dokumentert produkt er liten sammenlignet med det som står på spill.</w:t>
            </w:r>
          </w:p>
          <w:p>
            <w:pPr>
              <w:spacing w:after="0"/>
            </w:pPr>
          </w:p>
        </w:tc>
      </w:tr>
    </w:tbl>
    <w:p>
      <w:pPr>
        <w:spacing w:after="120"/>
      </w:pPr>
    </w:p>
    <w:p>
      <w:r>
        <w:rPr>
          <w:b/>
          <w:i w:val="0"/>
        </w:rPr>
        <w:t>Det som derimot er trygt å hente billig:</w:t>
      </w:r>
      <w:r>
        <w:rPr>
          <w:b w:val="0"/>
          <w:i w:val="0"/>
        </w:rPr>
        <w:t xml:space="preserve"> kuler, jern, børste, trekant og annet løst tilbehør. Til sammenligning tar Dynamic Billard €235 for et sett Aramith Tournament Champion snookerkuler og €199 for snookerjern.</w:t>
      </w:r>
    </w:p>
    <w:p>
      <w:pPr>
        <w:spacing w:before="120" w:after="200"/>
        <w:pBdr>
          <w:bottom w:val="single" w:sz="4" w:space="4" w:color="C6D9CC"/>
        </w:pBdr>
      </w:pPr>
    </w:p>
    <w:p>
      <w:bookmarkStart w:id="1004" w:name="ovs5"/>
      <w:pPr>
        <w:pStyle w:val="Heading2"/>
        <w:pBdr>
          <w:bottom w:val="single" w:sz="4" w:space="4" w:color="C6D9CC"/>
        </w:pBdr>
      </w:pPr>
      <w:r>
        <w:rPr>
          <w:b/>
          <w:i w:val="0"/>
          <w:color w:val="1F7A4D"/>
          <w:sz w:val="28"/>
        </w:rPr>
        <w:t>5. Oppmerking av bordet</w:t>
      </w:r>
      <w:bookmarkEnd w:id="1004"/>
    </w:p>
    <w:p>
      <w:pPr>
        <w:spacing w:before="160" w:after="40"/>
        <w:jc w:val="center"/>
        <w:pBdr>
          <w:top w:val="single" w:sz="6" w:space="6" w:color="3A6B4A"/>
          <w:left w:val="single" w:sz="6" w:space="6" w:color="3A6B4A"/>
          <w:bottom w:val="single" w:sz="6" w:space="6" w:color="3A6B4A"/>
          <w:right w:val="single" w:sz="6" w:space="6" w:color="3A6B4A"/>
        </w:pBdr>
      </w:pPr>
      <w:r>
        <w:drawing>
          <wp:inline xmlns:a="http://schemas.openxmlformats.org/drawingml/2006/main" xmlns:pic="http://schemas.openxmlformats.org/drawingml/2006/picture">
            <wp:extent cx="5580000" cy="69192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ppmerking-snookerbor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6919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color w:val="2F6B45"/>
          <w:sz w:val="18"/>
        </w:rPr>
        <w:t>Oppmerking av snookerbord — baulklinje, D og fargepunkter</w:t>
      </w:r>
    </w:p>
    <w:p>
      <w:r>
        <w:rPr>
          <w:b/>
          <w:i w:val="0"/>
        </w:rPr>
        <w:t>Kilde: WPBSAs offisielle regelbok, seksjon 1 punkt 1.</w:t>
      </w:r>
      <w:r>
        <w:rPr>
          <w:b w:val="0"/>
          <w:i w:val="0"/>
        </w:rPr>
        <w:t xml:space="preserve"> Det er det regelverket NBF viser til for snooker — NBFs egen kravspesifikasjon fra 2013 er skrevet for pool og har ingen mål for 12-fotsbord.</w:t>
      </w:r>
    </w:p>
    <w:p>
      <w:r>
        <w:rPr>
          <w:b w:val="0"/>
          <w:i/>
        </w:rPr>
        <w:t xml:space="preserve">Merk at NBFs § 7 oppgir kulediameter 57,2 mm. Det er poolkula. </w:t>
      </w:r>
      <w:r>
        <w:rPr>
          <w:b/>
          <w:i/>
        </w:rPr>
        <w:t>Snookerkula er 52,5 mm</w:t>
      </w:r>
      <w:r>
        <w:rPr>
          <w:b w:val="0"/>
          <w:i/>
        </w:rPr>
        <w:t>, og det er WPBSAs tall som gjelder på et snookerbord.</w:t>
      </w:r>
    </w:p>
    <w:p>
      <w:pPr>
        <w:pStyle w:val="Heading3"/>
      </w:pPr>
      <w:r>
        <w:rPr>
          <w:b/>
          <w:i w:val="0"/>
          <w:color w:val="2F6B45"/>
          <w:sz w:val="24"/>
        </w:rPr>
        <w:t>Langs bordet, fra baulkvantens front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  <w:tblBorders>
          <w:top w:val="single" w:sz="8" w:space="0" w:color="3A6B4A"/>
          <w:left w:val="single" w:sz="4" w:space="0" w:color="3A6B4A"/>
          <w:bottom w:val="single" w:sz="8" w:space="0" w:color="3A6B4A"/>
          <w:right w:val="single" w:sz="4" w:space="0" w:color="3A6B4A"/>
          <w:insideH w:val="single" w:sz="4" w:space="0" w:color="3A6B4A"/>
          <w:insideV w:val="single" w:sz="4" w:space="0" w:color="3A6B4A"/>
        </w:tblBorders>
      </w:tblPr>
      <w:tblGrid>
        <w:gridCol w:w="4536"/>
        <w:gridCol w:w="4536"/>
      </w:tblGrid>
      <w:tr>
        <w:trPr>
          <w:cantSplit/>
          <w:tblHeader w:val="true"/>
        </w:trPr>
        <w:tc>
          <w:tcPr>
            <w:tcW w:type="dxa" w:w="4536"/>
            <w:shd w:val="clear" w:color="auto" w:fill="E9F2EC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4536"/>
            <w:shd w:val="clear" w:color="auto" w:fill="E9F2EC"/>
          </w:tcPr>
          <w:p>
            <w:pPr>
              <w:spacing w:before="60" w:after="60"/>
            </w:pPr>
            <w:r>
              <w:rPr>
                <w:b/>
              </w:rPr>
            </w:r>
            <w:r>
              <w:rPr>
                <w:b/>
                <w:i w:val="0"/>
                <w:color w:val="14532D"/>
                <w:sz w:val="21"/>
              </w:rPr>
              <w:t>mm</w:t>
            </w:r>
          </w:p>
        </w:tc>
      </w:tr>
      <w:tr>
        <w:trPr>
          <w:cantSplit/>
        </w:trPr>
        <w:tc>
          <w:tcPr>
            <w:tcW w:type="dxa" w:w="453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Baulk-linjen</w:t>
            </w:r>
          </w:p>
        </w:tc>
        <w:tc>
          <w:tcPr>
            <w:tcW w:type="dxa" w:w="453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/>
                <w:i w:val="0"/>
                <w:sz w:val="21"/>
              </w:rPr>
              <w:t>737</w:t>
            </w:r>
          </w:p>
        </w:tc>
      </w:tr>
      <w:tr>
        <w:trPr>
          <w:cantSplit/>
        </w:trPr>
        <w:tc>
          <w:tcPr>
            <w:tcW w:type="dxa" w:w="4536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Blå — senterpunktet</w:t>
            </w:r>
          </w:p>
        </w:tc>
        <w:tc>
          <w:tcPr>
            <w:tcW w:type="dxa" w:w="4536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/>
                <w:i w:val="0"/>
                <w:sz w:val="21"/>
              </w:rPr>
              <w:t>1784,5</w:t>
            </w:r>
          </w:p>
        </w:tc>
      </w:tr>
      <w:tr>
        <w:trPr>
          <w:cantSplit/>
        </w:trPr>
        <w:tc>
          <w:tcPr>
            <w:tcW w:type="dxa" w:w="453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Rosa — pyramidepunktet</w:t>
            </w:r>
          </w:p>
        </w:tc>
        <w:tc>
          <w:tcPr>
            <w:tcW w:type="dxa" w:w="453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/>
                <w:i w:val="0"/>
                <w:sz w:val="21"/>
              </w:rPr>
              <w:t>2676,75</w:t>
            </w:r>
          </w:p>
        </w:tc>
      </w:tr>
      <w:tr>
        <w:trPr>
          <w:cantSplit/>
        </w:trPr>
        <w:tc>
          <w:tcPr>
            <w:tcW w:type="dxa" w:w="4536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Svart</w:t>
            </w:r>
          </w:p>
        </w:tc>
        <w:tc>
          <w:tcPr>
            <w:tcW w:type="dxa" w:w="4536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/>
                <w:i w:val="0"/>
                <w:sz w:val="21"/>
              </w:rPr>
              <w:t>3245</w:t>
            </w:r>
          </w:p>
        </w:tc>
      </w:tr>
    </w:tbl>
    <w:p>
      <w:pPr>
        <w:spacing w:after="120"/>
      </w:pPr>
    </w:p>
    <w:p>
      <w:pPr>
        <w:pStyle w:val="Heading3"/>
      </w:pPr>
      <w:r>
        <w:rPr>
          <w:b/>
          <w:i w:val="0"/>
          <w:color w:val="2F6B45"/>
          <w:sz w:val="24"/>
        </w:rPr>
        <w:t>Langs bordet, fra toppvantens front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  <w:tblBorders>
          <w:top w:val="single" w:sz="8" w:space="0" w:color="3A6B4A"/>
          <w:left w:val="single" w:sz="4" w:space="0" w:color="3A6B4A"/>
          <w:bottom w:val="single" w:sz="8" w:space="0" w:color="3A6B4A"/>
          <w:right w:val="single" w:sz="4" w:space="0" w:color="3A6B4A"/>
          <w:insideH w:val="single" w:sz="4" w:space="0" w:color="3A6B4A"/>
          <w:insideV w:val="single" w:sz="4" w:space="0" w:color="3A6B4A"/>
        </w:tblBorders>
      </w:tblPr>
      <w:tblGrid>
        <w:gridCol w:w="4536"/>
        <w:gridCol w:w="4536"/>
      </w:tblGrid>
      <w:tr>
        <w:trPr>
          <w:cantSplit/>
          <w:tblHeader w:val="true"/>
        </w:trPr>
        <w:tc>
          <w:tcPr>
            <w:tcW w:type="dxa" w:w="4536"/>
            <w:shd w:val="clear" w:color="auto" w:fill="E9F2EC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4536"/>
            <w:shd w:val="clear" w:color="auto" w:fill="E9F2EC"/>
          </w:tcPr>
          <w:p>
            <w:pPr>
              <w:spacing w:before="60" w:after="60"/>
            </w:pPr>
            <w:r>
              <w:rPr>
                <w:b/>
              </w:rPr>
            </w:r>
            <w:r>
              <w:rPr>
                <w:b/>
                <w:i w:val="0"/>
                <w:color w:val="14532D"/>
                <w:sz w:val="21"/>
              </w:rPr>
              <w:t>mm</w:t>
            </w:r>
          </w:p>
        </w:tc>
      </w:tr>
      <w:tr>
        <w:trPr>
          <w:cantSplit/>
        </w:trPr>
        <w:tc>
          <w:tcPr>
            <w:tcW w:type="dxa" w:w="453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Svart</w:t>
            </w:r>
          </w:p>
        </w:tc>
        <w:tc>
          <w:tcPr>
            <w:tcW w:type="dxa" w:w="453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/>
                <w:i w:val="0"/>
                <w:sz w:val="21"/>
              </w:rPr>
              <w:t>324</w:t>
            </w:r>
          </w:p>
        </w:tc>
      </w:tr>
      <w:tr>
        <w:trPr>
          <w:cantSplit/>
        </w:trPr>
        <w:tc>
          <w:tcPr>
            <w:tcW w:type="dxa" w:w="4536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Rosa</w:t>
            </w:r>
          </w:p>
        </w:tc>
        <w:tc>
          <w:tcPr>
            <w:tcW w:type="dxa" w:w="4536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/>
                <w:i w:val="0"/>
                <w:sz w:val="21"/>
              </w:rPr>
              <w:t>892,25</w:t>
            </w:r>
          </w:p>
        </w:tc>
      </w:tr>
      <w:tr>
        <w:trPr>
          <w:cantSplit/>
        </w:trPr>
        <w:tc>
          <w:tcPr>
            <w:tcW w:type="dxa" w:w="453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Blå</w:t>
            </w:r>
          </w:p>
        </w:tc>
        <w:tc>
          <w:tcPr>
            <w:tcW w:type="dxa" w:w="453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/>
                <w:i w:val="0"/>
                <w:sz w:val="21"/>
              </w:rPr>
              <w:t>1784,5</w:t>
            </w:r>
          </w:p>
        </w:tc>
      </w:tr>
    </w:tbl>
    <w:p>
      <w:pPr>
        <w:spacing w:after="120"/>
      </w:pPr>
    </w:p>
    <w:p>
      <w:pPr>
        <w:pStyle w:val="Heading3"/>
      </w:pPr>
      <w:r>
        <w:rPr>
          <w:b/>
          <w:i w:val="0"/>
          <w:color w:val="2F6B45"/>
          <w:sz w:val="24"/>
        </w:rPr>
        <w:t>På tvers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  <w:tblBorders>
          <w:top w:val="single" w:sz="8" w:space="0" w:color="3A6B4A"/>
          <w:left w:val="single" w:sz="4" w:space="0" w:color="3A6B4A"/>
          <w:bottom w:val="single" w:sz="8" w:space="0" w:color="3A6B4A"/>
          <w:right w:val="single" w:sz="4" w:space="0" w:color="3A6B4A"/>
          <w:insideH w:val="single" w:sz="4" w:space="0" w:color="3A6B4A"/>
          <w:insideV w:val="single" w:sz="4" w:space="0" w:color="3A6B4A"/>
        </w:tblBorders>
      </w:tblPr>
      <w:tblGrid>
        <w:gridCol w:w="4536"/>
        <w:gridCol w:w="4536"/>
      </w:tblGrid>
      <w:tr>
        <w:trPr>
          <w:cantSplit/>
          <w:tblHeader w:val="true"/>
        </w:trPr>
        <w:tc>
          <w:tcPr>
            <w:tcW w:type="dxa" w:w="4536"/>
            <w:shd w:val="clear" w:color="auto" w:fill="E9F2EC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4536"/>
            <w:shd w:val="clear" w:color="auto" w:fill="E9F2EC"/>
          </w:tcPr>
          <w:p>
            <w:pPr>
              <w:spacing w:before="60" w:after="60"/>
            </w:pPr>
            <w:r>
              <w:rPr>
                <w:b/>
              </w:rPr>
            </w:r>
            <w:r>
              <w:rPr>
                <w:b/>
                <w:i w:val="0"/>
                <w:color w:val="14532D"/>
                <w:sz w:val="21"/>
              </w:rPr>
              <w:t>mm</w:t>
            </w:r>
          </w:p>
        </w:tc>
      </w:tr>
      <w:tr>
        <w:trPr>
          <w:cantSplit/>
        </w:trPr>
        <w:tc>
          <w:tcPr>
            <w:tcW w:type="dxa" w:w="453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Senterlinjen fra langsiden</w:t>
            </w:r>
          </w:p>
        </w:tc>
        <w:tc>
          <w:tcPr>
            <w:tcW w:type="dxa" w:w="453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/>
                <w:i w:val="0"/>
                <w:sz w:val="21"/>
              </w:rPr>
              <w:t>889</w:t>
            </w:r>
          </w:p>
        </w:tc>
      </w:tr>
      <w:tr>
        <w:trPr>
          <w:cantSplit/>
        </w:trPr>
        <w:tc>
          <w:tcPr>
            <w:tcW w:type="dxa" w:w="4536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D-ens radius</w:t>
            </w:r>
          </w:p>
        </w:tc>
        <w:tc>
          <w:tcPr>
            <w:tcW w:type="dxa" w:w="4536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/>
                <w:i w:val="0"/>
                <w:sz w:val="21"/>
              </w:rPr>
              <w:t>292</w:t>
            </w:r>
          </w:p>
        </w:tc>
      </w:tr>
      <w:tr>
        <w:trPr>
          <w:cantSplit/>
        </w:trPr>
        <w:tc>
          <w:tcPr>
            <w:tcW w:type="dxa" w:w="453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Gul og grønn fra senterlinjen</w:t>
            </w:r>
          </w:p>
        </w:tc>
        <w:tc>
          <w:tcPr>
            <w:tcW w:type="dxa" w:w="453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/>
                <w:i w:val="0"/>
                <w:sz w:val="21"/>
              </w:rPr>
              <w:t>± 292</w:t>
            </w:r>
          </w:p>
        </w:tc>
      </w:tr>
    </w:tbl>
    <w:p>
      <w:pPr>
        <w:spacing w:after="120"/>
      </w:pPr>
    </w:p>
    <w:p>
      <w:pPr>
        <w:pStyle w:val="Heading3"/>
      </w:pPr>
      <w:r>
        <w:rPr>
          <w:b/>
          <w:i w:val="0"/>
          <w:color w:val="2F6B45"/>
          <w:sz w:val="24"/>
        </w:rPr>
        <w:t>Definisjonene bak tallene</w:t>
      </w:r>
    </w:p>
    <w:p>
      <w:r>
        <w:rPr>
          <w:b w:val="0"/>
          <w:i w:val="0"/>
        </w:rPr>
        <w:t xml:space="preserve">Bare to av målene er oppgitt direkte i regelboka — </w:t>
      </w:r>
      <w:r>
        <w:rPr>
          <w:b/>
          <w:i w:val="0"/>
        </w:rPr>
        <w:t>737 mm</w:t>
      </w:r>
      <w:r>
        <w:rPr>
          <w:b w:val="0"/>
          <w:i w:val="0"/>
        </w:rPr>
        <w:t xml:space="preserve"> til baulk-linjen og </w:t>
      </w:r>
      <w:r>
        <w:rPr>
          <w:b/>
          <w:i w:val="0"/>
        </w:rPr>
        <w:t>324 mm</w:t>
      </w:r>
      <w:r>
        <w:rPr>
          <w:b w:val="0"/>
          <w:i w:val="0"/>
        </w:rPr>
        <w:t xml:space="preserve"> til svart. Resten følger av definisjoner:</w:t>
      </w:r>
    </w:p>
    <w:p>
      <w:pPr>
        <w:pStyle w:val="ListBullet"/>
      </w:pPr>
      <w:r>
        <w:rPr>
          <w:b/>
          <w:i w:val="0"/>
        </w:rPr>
        <w:t>Blå</w:t>
      </w:r>
      <w:r>
        <w:rPr>
          <w:b w:val="0"/>
          <w:i w:val="0"/>
        </w:rPr>
        <w:t xml:space="preserve"> ligger midt mellom vantefrontene</w:t>
      </w:r>
    </w:p>
    <w:p>
      <w:pPr>
        <w:pStyle w:val="ListBullet"/>
      </w:pPr>
      <w:r>
        <w:rPr>
          <w:b/>
          <w:i w:val="0"/>
        </w:rPr>
        <w:t>Rosa</w:t>
      </w:r>
      <w:r>
        <w:rPr>
          <w:b w:val="0"/>
          <w:i w:val="0"/>
        </w:rPr>
        <w:t xml:space="preserve"> ligger midt mellom blå og toppvanten</w:t>
      </w:r>
    </w:p>
    <w:p>
      <w:pPr>
        <w:pStyle w:val="ListBullet"/>
      </w:pPr>
      <w:r>
        <w:rPr>
          <w:b/>
          <w:i w:val="0"/>
        </w:rPr>
        <w:t>Brun</w:t>
      </w:r>
      <w:r>
        <w:rPr>
          <w:b w:val="0"/>
          <w:i w:val="0"/>
        </w:rPr>
        <w:t xml:space="preserve"> ligger midt på baulk-linjen, og er samtidig D-ens sentrum</w:t>
      </w:r>
    </w:p>
    <w:p>
      <w:pPr>
        <w:pStyle w:val="ListBullet"/>
      </w:pPr>
      <w:r>
        <w:rPr>
          <w:b/>
          <w:i w:val="0"/>
        </w:rPr>
        <w:t>Gul og grønn</w:t>
      </w:r>
      <w:r>
        <w:rPr>
          <w:b w:val="0"/>
          <w:i w:val="0"/>
        </w:rPr>
        <w:t xml:space="preserve"> ligger i D-ens hjørner. </w:t>
      </w:r>
      <w:r>
        <w:rPr>
          <w:b/>
          <w:i w:val="0"/>
        </w:rPr>
        <w:t>Gul til høyre, grønn til venstre, sett fra baulk-enden</w:t>
      </w:r>
    </w:p>
    <w:p>
      <w:pPr>
        <w:pStyle w:val="ListBullet"/>
      </w:pPr>
      <w:r>
        <w:rPr>
          <w:b w:val="0"/>
          <w:i w:val="0"/>
        </w:rPr>
        <w:t>De femten røde rackes med spissen så nær rosa som mulig uten å berøre, og med bunnlinjen parallell med toppvanten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24" w:space="0" w:color="3A6B4A"/>
          <w:top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072"/>
      </w:tblGrid>
      <w:tr>
        <w:tc>
          <w:tcPr>
            <w:tcW w:type="dxa" w:w="9072"/>
            <w:shd w:val="clear" w:color="auto" w:fill="E9F2EC"/>
          </w:tcPr>
          <w:p>
            <w:pPr>
              <w:spacing w:before="100" w:after="80"/>
            </w:pPr>
            <w:r/>
            <w:r>
              <w:rPr>
                <w:b/>
                <w:i w:val="0"/>
                <w:color w:val="14532D"/>
              </w:rPr>
              <w:t>Regn ut på ditt eget bord — ikke kopier tallene blindt</w:t>
            </w:r>
          </w:p>
          <w:p>
            <w:pPr>
              <w:spacing w:before="100" w:after="100"/>
            </w:pPr>
            <w:r>
              <w:rPr>
                <w:b w:val="0"/>
                <w:i w:val="0"/>
                <w:color w:val="14532D"/>
              </w:rPr>
              <w:t xml:space="preserve">Spilleflaten har toleranse </w:t>
            </w:r>
            <w:r>
              <w:rPr>
                <w:b/>
                <w:i w:val="0"/>
                <w:color w:val="14532D"/>
              </w:rPr>
              <w:t>± 13 mm på begge mål</w:t>
            </w:r>
            <w:r>
              <w:rPr>
                <w:b w:val="0"/>
                <w:i w:val="0"/>
                <w:color w:val="14532D"/>
              </w:rPr>
              <w:t>. To bord av samme modell kan avvike. Målene for blå og rosa er avledet av bordets faktiske lengde, så på et bord som er 10 mm kort, flytter de seg.</w:t>
            </w:r>
          </w:p>
          <w:p>
            <w:pPr>
              <w:spacing w:before="100" w:after="100"/>
            </w:pPr>
            <w:r>
              <w:rPr>
                <w:b/>
                <w:i w:val="0"/>
                <w:color w:val="14532D"/>
              </w:rPr>
              <w:t>737 og 324 er absolutte. De øvrige er relative.</w:t>
            </w:r>
            <w:r>
              <w:rPr>
                <w:b w:val="0"/>
                <w:i w:val="0"/>
                <w:color w:val="14532D"/>
              </w:rPr>
              <w:t xml:space="preserve"> Mål opp bordet først.</w:t>
            </w:r>
          </w:p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3"/>
      </w:pPr>
      <w:r>
        <w:rPr>
          <w:b/>
          <w:i w:val="0"/>
          <w:color w:val="2F6B45"/>
          <w:sz w:val="24"/>
        </w:rPr>
        <w:t>Andre mål fra regelboka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  <w:tblBorders>
          <w:top w:val="single" w:sz="8" w:space="0" w:color="3A6B4A"/>
          <w:left w:val="single" w:sz="4" w:space="0" w:color="3A6B4A"/>
          <w:bottom w:val="single" w:sz="8" w:space="0" w:color="3A6B4A"/>
          <w:right w:val="single" w:sz="4" w:space="0" w:color="3A6B4A"/>
          <w:insideH w:val="single" w:sz="4" w:space="0" w:color="3A6B4A"/>
          <w:insideV w:val="single" w:sz="4" w:space="0" w:color="3A6B4A"/>
        </w:tblBorders>
      </w:tblPr>
      <w:tblGrid>
        <w:gridCol w:w="4536"/>
        <w:gridCol w:w="4536"/>
      </w:tblGrid>
      <w:tr>
        <w:trPr>
          <w:cantSplit/>
          <w:tblHeader w:val="true"/>
        </w:trPr>
        <w:tc>
          <w:tcPr>
            <w:tcW w:type="dxa" w:w="4536"/>
            <w:shd w:val="clear" w:color="auto" w:fill="E9F2EC"/>
          </w:tcPr>
          <w:p>
            <w:pPr>
              <w:spacing w:before="60" w:after="60"/>
            </w:pPr>
            <w:r>
              <w:rPr>
                <w:b/>
              </w:rPr>
            </w:r>
            <w:r>
              <w:rPr>
                <w:b/>
                <w:i w:val="0"/>
                <w:color w:val="14532D"/>
                <w:sz w:val="21"/>
              </w:rPr>
              <w:t>Spilleflate innenfor vantefrontene</w:t>
            </w:r>
          </w:p>
        </w:tc>
        <w:tc>
          <w:tcPr>
            <w:tcW w:type="dxa" w:w="4536"/>
            <w:shd w:val="clear" w:color="auto" w:fill="E9F2EC"/>
          </w:tcPr>
          <w:p>
            <w:pPr>
              <w:spacing w:before="60" w:after="60"/>
            </w:pPr>
            <w:r>
              <w:rPr>
                <w:b/>
              </w:rPr>
            </w:r>
            <w:r>
              <w:rPr>
                <w:b/>
                <w:i w:val="0"/>
                <w:color w:val="14532D"/>
                <w:sz w:val="21"/>
              </w:rPr>
              <w:t>3569 × 1778 mm, ± 13 mm</w:t>
            </w:r>
          </w:p>
        </w:tc>
      </w:tr>
      <w:tr>
        <w:trPr>
          <w:cantSplit/>
        </w:trPr>
        <w:tc>
          <w:tcPr>
            <w:tcW w:type="dxa" w:w="453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Kulediameter</w:t>
            </w:r>
          </w:p>
        </w:tc>
        <w:tc>
          <w:tcPr>
            <w:tcW w:type="dxa" w:w="453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52,5 mm, ± 0,05 mm</w:t>
            </w:r>
          </w:p>
        </w:tc>
      </w:tr>
      <w:tr>
        <w:trPr>
          <w:cantSplit/>
        </w:trPr>
        <w:tc>
          <w:tcPr>
            <w:tcW w:type="dxa" w:w="4536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Gulv til vantetopp</w:t>
            </w:r>
          </w:p>
        </w:tc>
        <w:tc>
          <w:tcPr>
            <w:tcW w:type="dxa" w:w="4536"/>
            <w:shd w:val="clear" w:color="auto" w:fill="F5F9F6"/>
          </w:tcPr>
          <w:p>
            <w:pPr>
              <w:spacing w:before="60" w:after="60"/>
            </w:pPr>
            <w:r>
              <w:rPr>
                <w:sz w:val="21"/>
              </w:rPr>
            </w:r>
            <w:r>
              <w:rPr>
                <w:b w:val="0"/>
                <w:i w:val="0"/>
                <w:sz w:val="21"/>
              </w:rPr>
              <w:t>851–876 mm</w:t>
            </w:r>
          </w:p>
        </w:tc>
      </w:tr>
    </w:tbl>
    <w:p>
      <w:pPr>
        <w:spacing w:after="120"/>
      </w:pPr>
    </w:p>
    <w:p>
      <w:r>
        <w:rPr>
          <w:b w:val="0"/>
          <w:i/>
        </w:rPr>
        <w:t xml:space="preserve">Tegningen genereres av </w:t>
      </w:r>
      <w:r>
        <w:rPr>
          <w:rFonts w:ascii="Consolas" w:hAnsi="Consolas"/>
          <w:b w:val="0"/>
          <w:i/>
          <w:sz w:val="19"/>
        </w:rPr>
        <w:t>verktoy/lag_oppmerkingstegning.py</w:t>
      </w:r>
      <w:r>
        <w:rPr>
          <w:b w:val="0"/>
          <w:i/>
        </w:rPr>
        <w:t>. Endres et mål, endres det i skriptet — ikke i SVG-fila.</w:t>
      </w:r>
    </w:p>
    <w:p>
      <w:pPr>
        <w:spacing w:before="120" w:after="200"/>
        <w:pBdr>
          <w:bottom w:val="single" w:sz="4" w:space="4" w:color="C6D9CC"/>
        </w:pBdr>
      </w:pPr>
    </w:p>
    <w:p>
      <w:bookmarkStart w:id="1005" w:name="ovs6"/>
      <w:pPr>
        <w:pStyle w:val="Heading2"/>
        <w:pBdr>
          <w:bottom w:val="single" w:sz="4" w:space="4" w:color="C6D9CC"/>
        </w:pBdr>
      </w:pPr>
      <w:r>
        <w:rPr>
          <w:b/>
          <w:i w:val="0"/>
          <w:color w:val="1F7A4D"/>
          <w:sz w:val="28"/>
        </w:rPr>
        <w:t>6. Sjekkliste før en klubb bestiller bord eller lys</w:t>
      </w:r>
      <w:bookmarkEnd w:id="1005"/>
    </w:p>
    <w:p>
      <w:pPr>
        <w:tabs>
          <w:tab w:pos="482" w:val="left"/>
        </w:tabs>
        <w:spacing w:after="80" w:line="276" w:lineRule="auto"/>
        <w:ind w:left="482" w:hanging="482"/>
      </w:pPr>
      <w:r>
        <w:rPr>
          <w:rFonts w:ascii="Segoe UI Symbol" w:hAnsi="Segoe UI Symbol" w:eastAsia="Segoe UI Symbol" w:cs="Segoe UI Symbol"/>
          <w:color w:val="3A6B4A"/>
          <w:sz w:val="24"/>
        </w:rPr>
        <w:t>☐</w:t>
      </w:r>
      <w:r>
        <w:tab/>
      </w:r>
      <w:r>
        <w:rPr>
          <w:b w:val="0"/>
          <w:i w:val="0"/>
        </w:rPr>
        <w:t>Mål rommet, og tegn inn søyler, radiatorer og dører som slår innover</w:t>
      </w:r>
    </w:p>
    <w:p>
      <w:pPr>
        <w:tabs>
          <w:tab w:pos="482" w:val="left"/>
        </w:tabs>
        <w:spacing w:after="80" w:line="276" w:lineRule="auto"/>
        <w:ind w:left="482" w:hanging="482"/>
      </w:pPr>
      <w:r>
        <w:rPr>
          <w:rFonts w:ascii="Segoe UI Symbol" w:hAnsi="Segoe UI Symbol" w:eastAsia="Segoe UI Symbol" w:cs="Segoe UI Symbol"/>
          <w:color w:val="3A6B4A"/>
          <w:sz w:val="24"/>
        </w:rPr>
        <w:t>☐</w:t>
      </w:r>
      <w:r>
        <w:tab/>
      </w:r>
      <w:r>
        <w:rPr>
          <w:b w:val="0"/>
          <w:i w:val="0"/>
        </w:rPr>
        <w:t xml:space="preserve">Kontroller mot tabellen i punkt 1 — </w:t>
      </w:r>
      <w:r>
        <w:rPr>
          <w:b/>
          <w:i w:val="0"/>
        </w:rPr>
        <w:t>før</w:t>
      </w:r>
      <w:r>
        <w:rPr>
          <w:b w:val="0"/>
          <w:i w:val="0"/>
        </w:rPr>
        <w:t xml:space="preserve"> pris hentes inn</w:t>
      </w:r>
    </w:p>
    <w:p>
      <w:pPr>
        <w:tabs>
          <w:tab w:pos="482" w:val="left"/>
        </w:tabs>
        <w:spacing w:after="80" w:line="276" w:lineRule="auto"/>
        <w:ind w:left="482" w:hanging="482"/>
      </w:pPr>
      <w:r>
        <w:rPr>
          <w:rFonts w:ascii="Segoe UI Symbol" w:hAnsi="Segoe UI Symbol" w:eastAsia="Segoe UI Symbol" w:cs="Segoe UI Symbol"/>
          <w:color w:val="3A6B4A"/>
          <w:sz w:val="24"/>
        </w:rPr>
        <w:t>☐</w:t>
      </w:r>
      <w:r>
        <w:tab/>
      </w:r>
      <w:r>
        <w:rPr>
          <w:b w:val="0"/>
          <w:i w:val="0"/>
        </w:rPr>
        <w:t>Mål takhøyden. Under 2,6 m er fast armatur trolig utelukket</w:t>
      </w:r>
    </w:p>
    <w:p>
      <w:pPr>
        <w:tabs>
          <w:tab w:pos="482" w:val="left"/>
        </w:tabs>
        <w:spacing w:after="80" w:line="276" w:lineRule="auto"/>
        <w:ind w:left="482" w:hanging="482"/>
      </w:pPr>
      <w:r>
        <w:rPr>
          <w:rFonts w:ascii="Segoe UI Symbol" w:hAnsi="Segoe UI Symbol" w:eastAsia="Segoe UI Symbol" w:cs="Segoe UI Symbol"/>
          <w:color w:val="3A6B4A"/>
          <w:sz w:val="24"/>
        </w:rPr>
        <w:t>☐</w:t>
      </w:r>
      <w:r>
        <w:tab/>
      </w:r>
      <w:r>
        <w:rPr>
          <w:b w:val="0"/>
          <w:i w:val="0"/>
        </w:rPr>
        <w:t>Avgjør: fast armatur eller armatur som kan dras til side. Det avgjør høyden</w:t>
      </w:r>
    </w:p>
    <w:p>
      <w:pPr>
        <w:tabs>
          <w:tab w:pos="482" w:val="left"/>
        </w:tabs>
        <w:spacing w:after="80" w:line="276" w:lineRule="auto"/>
        <w:ind w:left="482" w:hanging="482"/>
      </w:pPr>
      <w:r>
        <w:rPr>
          <w:rFonts w:ascii="Segoe UI Symbol" w:hAnsi="Segoe UI Symbol" w:eastAsia="Segoe UI Symbol" w:cs="Segoe UI Symbol"/>
          <w:color w:val="3A6B4A"/>
          <w:sz w:val="24"/>
        </w:rPr>
        <w:t>☐</w:t>
      </w:r>
      <w:r>
        <w:tab/>
      </w:r>
      <w:r>
        <w:rPr>
          <w:b w:val="0"/>
          <w:i w:val="0"/>
        </w:rPr>
        <w:t xml:space="preserve">Be leverandøren dokumentere </w:t>
      </w:r>
      <w:r>
        <w:rPr>
          <w:b/>
          <w:i w:val="0"/>
        </w:rPr>
        <w:t>520 lux og jevnhet 0,8</w:t>
      </w:r>
      <w:r>
        <w:rPr>
          <w:b w:val="0"/>
          <w:i w:val="0"/>
        </w:rPr>
        <w:t>, ikke bare watt</w:t>
      </w:r>
    </w:p>
    <w:p>
      <w:pPr>
        <w:tabs>
          <w:tab w:pos="482" w:val="left"/>
        </w:tabs>
        <w:spacing w:after="80" w:line="276" w:lineRule="auto"/>
        <w:ind w:left="482" w:hanging="482"/>
      </w:pPr>
      <w:r>
        <w:rPr>
          <w:rFonts w:ascii="Segoe UI Symbol" w:hAnsi="Segoe UI Symbol" w:eastAsia="Segoe UI Symbol" w:cs="Segoe UI Symbol"/>
          <w:color w:val="3A6B4A"/>
          <w:sz w:val="24"/>
        </w:rPr>
        <w:t>☐</w:t>
      </w:r>
      <w:r>
        <w:tab/>
      </w:r>
      <w:r>
        <w:rPr>
          <w:b w:val="0"/>
          <w:i w:val="0"/>
        </w:rPr>
        <w:t>Få elektriker til å vurdere installasjonen før bestilling, ikke etter</w:t>
      </w:r>
    </w:p>
    <w:p>
      <w:pPr>
        <w:tabs>
          <w:tab w:pos="482" w:val="left"/>
        </w:tabs>
        <w:spacing w:after="80" w:line="276" w:lineRule="auto"/>
        <w:ind w:left="482" w:hanging="482"/>
      </w:pPr>
      <w:r>
        <w:rPr>
          <w:rFonts w:ascii="Segoe UI Symbol" w:hAnsi="Segoe UI Symbol" w:eastAsia="Segoe UI Symbol" w:cs="Segoe UI Symbol"/>
          <w:color w:val="3A6B4A"/>
          <w:sz w:val="24"/>
        </w:rPr>
        <w:t>☐</w:t>
      </w:r>
      <w:r>
        <w:tab/>
      </w:r>
      <w:r>
        <w:rPr>
          <w:b w:val="0"/>
          <w:i w:val="0"/>
        </w:rPr>
        <w:t>Sjekk med forsikringsselskapet hva som kreves av dokumentasjon</w:t>
      </w:r>
    </w:p>
    <w:p>
      <w:pPr>
        <w:spacing w:before="120" w:after="200"/>
        <w:pBdr>
          <w:bottom w:val="single" w:sz="4" w:space="4" w:color="C6D9CC"/>
        </w:pBdr>
      </w:pPr>
    </w:p>
    <w:p>
      <w:bookmarkStart w:id="1006" w:name="ovs7"/>
      <w:pPr>
        <w:pStyle w:val="Heading2"/>
        <w:pBdr>
          <w:bottom w:val="single" w:sz="4" w:space="4" w:color="C6D9CC"/>
        </w:pBdr>
      </w:pPr>
      <w:r>
        <w:rPr>
          <w:b/>
          <w:i w:val="0"/>
          <w:color w:val="1F7A4D"/>
          <w:sz w:val="28"/>
        </w:rPr>
        <w:t>Kilder</w:t>
      </w:r>
      <w:bookmarkEnd w:id="1006"/>
    </w:p>
    <w:p>
      <w:pPr>
        <w:pStyle w:val="ListBullet"/>
      </w:pPr>
      <w:hyperlink r:id="rId13">
        <w:r>
          <w:rPr>
            <w:u w:val="single"/>
            <w:color w:val="1F7A4D"/>
          </w:rPr>
          <w:t xml:space="preserve">NBF — Kravspesifikasjoner for biljardbord og anlegg</w:t>
        </w:r>
      </w:hyperlink>
      <w:r>
        <w:rPr>
          <w:b w:val="0"/>
          <w:i w:val="0"/>
        </w:rPr>
        <w:t xml:space="preserve"> — §§ 3, 13, 14</w:t>
      </w:r>
    </w:p>
    <w:p>
      <w:pPr>
        <w:pStyle w:val="ListBullet"/>
      </w:pPr>
      <w:hyperlink r:id="rId14">
        <w:r>
          <w:rPr>
            <w:u w:val="single"/>
            <w:color w:val="1F7A4D"/>
          </w:rPr>
          <w:t xml:space="preserve">Ask Ovia — lighting requirements for snooker tables (CIBSE/LG4, UGR)</w:t>
        </w:r>
      </w:hyperlink>
    </w:p>
    <w:p>
      <w:pPr>
        <w:pStyle w:val="ListBullet"/>
      </w:pPr>
      <w:hyperlink r:id="rId15">
        <w:r>
          <w:rPr>
            <w:u w:val="single"/>
            <w:color w:val="1F7A4D"/>
          </w:rPr>
          <w:t xml:space="preserve">Spelbord.se — Rasson Sword II 12ft, yttermål</w:t>
        </w:r>
      </w:hyperlink>
    </w:p>
    <w:p>
      <w:pPr>
        <w:pStyle w:val="ListBullet"/>
      </w:pPr>
      <w:hyperlink r:id="rId16">
        <w:r>
          <w:rPr>
            <w:u w:val="single"/>
            <w:color w:val="1F7A4D"/>
          </w:rPr>
          <w:t xml:space="preserve">Alibaba — LED snooker light, prisnivå og spesifikasjoner</w:t>
        </w:r>
      </w:hyperlink>
    </w:p>
    <w:p>
      <w:pPr>
        <w:pStyle w:val="ListBullet"/>
      </w:pPr>
      <w:hyperlink r:id="rId17">
        <w:r>
          <w:rPr>
            <w:u w:val="single"/>
            <w:color w:val="1F7A4D"/>
          </w:rPr>
          <w:t xml:space="preserve">Thurston — Ultra Bright LED Snooker Luminaire, anbefalt opphengshøyde</w:t>
        </w:r>
      </w:hyperlink>
    </w:p>
    <w:p>
      <w:pPr>
        <w:pStyle w:val="ListBullet"/>
      </w:pPr>
      <w:hyperlink r:id="rId18">
        <w:r>
          <w:rPr>
            <w:u w:val="single"/>
            <w:color w:val="1F7A4D"/>
          </w:rPr>
          <w:t xml:space="preserve">WPBSA — Official Rules of the Games of Snooker and English Billiards</w:t>
        </w:r>
      </w:hyperlink>
      <w:r>
        <w:rPr>
          <w:b w:val="0"/>
          <w:i w:val="0"/>
        </w:rPr>
        <w:t xml:space="preserve"> — seksjon 1, punkt 1 (a)–(f) og punkt 2</w:t>
      </w:r>
    </w:p>
    <w:p>
      <w:pPr>
        <w:spacing w:before="120" w:after="200"/>
        <w:pBdr>
          <w:bottom w:val="single" w:sz="4" w:space="4" w:color="C6D9CC"/>
        </w:pBdr>
      </w:pPr>
    </w:p>
    <w:p>
      <w:r>
        <w:rPr>
          <w:b w:val="0"/>
          <w:i w:val="0"/>
          <w:color w:val="3A6B4A"/>
        </w:rPr>
        <w:t>Koalisjonen</w:t>
      </w:r>
      <w:r>
        <w:rPr>
          <w:b w:val="0"/>
          <w:i w:val="0"/>
        </w:rPr>
        <w:t xml:space="preserve"> · </w:t>
      </w:r>
      <w:r>
        <w:rPr>
          <w:b w:val="0"/>
          <w:i w:val="0"/>
          <w:color w:val="3A6B4A"/>
        </w:rPr>
        <w:t>Leverandorer-bord-og-duk</w:t>
      </w:r>
      <w:r>
        <w:rPr>
          <w:b w:val="0"/>
          <w:i w:val="0"/>
        </w:rPr>
        <w:t xml:space="preserve"> · </w:t>
      </w:r>
      <w:r>
        <w:rPr>
          <w:b w:val="0"/>
          <w:i w:val="0"/>
          <w:color w:val="3A6B4A"/>
        </w:rPr>
        <w:t>Snooker MOC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595959"/>
        <w:sz w:val="17"/>
      </w:rPr>
      <w:t xml:space="preserve">Snooker – For Alle   ·   side </w:t>
    </w:r>
    <w:r>
      <w:rPr>
        <w:color w:val="595959"/>
        <w:sz w:val="17"/>
      </w:rPr>
      <w:fldChar w:fldCharType="begin"/>
    </w:r>
    <w:r>
      <w:rPr>
        <w:color w:val="595959"/>
        <w:sz w:val="17"/>
      </w:rPr>
      <w:instrText xml:space="preserve">PAGE</w:instrText>
    </w:r>
    <w:r>
      <w:rPr>
        <w:color w:val="595959"/>
        <w:sz w:val="17"/>
      </w:rPr>
      <w:fldChar w:fldCharType="end"/>
    </w:r>
    <w:r>
      <w:rPr>
        <w:color w:val="595959"/>
        <w:sz w:val="17"/>
      </w:rPr>
      <w:t xml:space="preserve"> av </w:t>
    </w:r>
    <w:r>
      <w:rPr>
        <w:color w:val="595959"/>
        <w:sz w:val="17"/>
      </w:rPr>
      <w:fldChar w:fldCharType="begin"/>
    </w:r>
    <w:r>
      <w:rPr>
        <w:color w:val="595959"/>
        <w:sz w:val="17"/>
      </w:rPr>
      <w:instrText xml:space="preserve">NUMPAGES</w:instrText>
    </w:r>
    <w:r>
      <w:rPr>
        <w:color w:val="595959"/>
        <w:sz w:val="17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4" w:space="4" w:color="3A6B4A"/>
      </w:pBdr>
    </w:pPr>
    <w:r/>
    <w:r>
      <w:rPr>
        <w:color w:val="595959"/>
        <w:sz w:val="17"/>
      </w:rPr>
      <w:t>Plassbehov, lys og oppmerking av snookerbord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40" w:before="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 w:val="0"/>
      <w:spacing w:before="44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14532D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pageBreakBefore w:val="0"/>
      <w:spacing w:before="32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1F7A4D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pageBreakBefore w:val="0"/>
      <w:spacing w:before="240" w:after="60"/>
      <w:outlineLvl w:val="2"/>
    </w:pPr>
    <w:rPr>
      <w:rFonts w:asciiTheme="majorHAnsi" w:eastAsiaTheme="majorEastAsia" w:hAnsiTheme="majorHAnsi" w:cstheme="majorBidi" w:ascii="Calibri" w:hAnsi="Calibri"/>
      <w:b/>
      <w:bCs/>
      <w:color w:val="2F6B45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pageBreakBefore w:val="0"/>
      <w:spacing w:before="200" w:after="40"/>
      <w:outlineLvl w:val="3"/>
    </w:pPr>
    <w:rPr>
      <w:rFonts w:asciiTheme="majorHAnsi" w:eastAsiaTheme="majorEastAsia" w:hAnsiTheme="majorHAnsi" w:cstheme="majorBidi" w:ascii="Calibri" w:hAnsi="Calibri"/>
      <w:b/>
      <w:bCs/>
      <w:i/>
      <w:iCs/>
      <w:color w:val="2F6B45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76" w:lineRule="auto"/>
      <w:contextualSpacing/>
    </w:pPr>
    <w:rPr>
      <w:rFonts w:ascii="Calibri" w:hAnsi="Calibri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 w:line="276" w:lineRule="auto"/>
      <w:contextualSpacing/>
    </w:pPr>
    <w:rPr>
      <w:rFonts w:ascii="Calibri" w:hAnsi="Calibri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 w:line="276" w:lineRule="auto"/>
      <w:contextualSpacing/>
    </w:pPr>
    <w:rPr>
      <w:rFonts w:ascii="Calibri" w:hAnsi="Calibri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76" w:lineRule="auto"/>
      <w:contextualSpacing/>
    </w:pPr>
    <w:rPr>
      <w:rFonts w:ascii="Calibri" w:hAnsi="Calibri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spacing w:after="60" w:line="276" w:lineRule="auto"/>
      <w:contextualSpacing/>
    </w:pPr>
    <w:rPr>
      <w:rFonts w:ascii="Calibri" w:hAnsi="Calibri"/>
      <w:sz w:val="22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spacing w:after="60" w:line="276" w:lineRule="auto"/>
      <w:contextualSpacing/>
    </w:pPr>
    <w:rPr>
      <w:rFonts w:ascii="Calibri" w:hAnsi="Calibri"/>
      <w:sz w:val="22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://www.biljardforbundet.no/anlegg/kravspesifikasjoner/" TargetMode="External"/><Relationship Id="rId14" Type="http://schemas.openxmlformats.org/officeDocument/2006/relationships/hyperlink" Target="https://professional-electrician.com/technical/ask-ovia-what-is-the-correct-lighting-requirements-over-snooker-tables/" TargetMode="External"/><Relationship Id="rId15" Type="http://schemas.openxmlformats.org/officeDocument/2006/relationships/hyperlink" Target="https://www.spelbord.se/snookerbord/rasson-sword-ii-12ft.html" TargetMode="External"/><Relationship Id="rId16" Type="http://schemas.openxmlformats.org/officeDocument/2006/relationships/hyperlink" Target="https://www.alibaba.com/showroom/led-snooker-light.html" TargetMode="External"/><Relationship Id="rId17" Type="http://schemas.openxmlformats.org/officeDocument/2006/relationships/hyperlink" Target="https://www.thurston.co.uk/product/ultra-bright-led-snooker-luminaire/" TargetMode="External"/><Relationship Id="rId18" Type="http://schemas.openxmlformats.org/officeDocument/2006/relationships/hyperlink" Target="https://www.theukrules.co.uk/wp-content/uploads/2023/08/WPBSA-Snooker-Official-Rulebook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