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pBdr>
          <w:bottom w:val="single" w:sz="12" w:space="4" w:color="3A6B4A"/>
        </w:pBdr>
      </w:pPr>
      <w:r>
        <w:rPr>
          <w:b/>
          <w:color w:val="14532D"/>
          <w:sz w:val="52"/>
        </w:rPr>
        <w:t>Presseopplegg for turneringer</w:t>
      </w:r>
    </w:p>
    <w:p>
      <w:pPr>
        <w:spacing w:before="120" w:after="40"/>
      </w:pPr>
      <w:r>
        <w:rPr>
          <w:color w:val="3A6B4A"/>
          <w:sz w:val="25"/>
        </w:rPr>
        <w:t>Regionalt, Norgescup, NM og nordisk mesterskap</w:t>
      </w:r>
    </w:p>
    <w:p>
      <w:pPr>
        <w:spacing w:after="200"/>
      </w:pPr>
      <w:r>
        <w:rPr>
          <w:color w:val="595959"/>
          <w:sz w:val="19"/>
        </w:rPr>
        <w:t>Sist verifisert: 2026-08-09   ·   Status: v1 — utkast til godkjenning   ·   Eier: Roger</w:t>
      </w:r>
    </w:p>
    <w:p>
      <w:pPr>
        <w:spacing w:before="160" w:after="80"/>
      </w:pPr>
      <w:r>
        <w:rPr>
          <w:b/>
          <w:color w:val="14532D"/>
          <w:sz w:val="26"/>
        </w:rPr>
        <w:t>Innhold</w:t>
      </w:r>
    </w:p>
    <w:p>
      <w:pPr>
        <w:spacing w:after="40" w:line="240" w:lineRule="auto"/>
        <w:ind w:left="283"/>
      </w:pPr>
      <w:hyperlink w:anchor="ovs1">
        <w:r>
          <w:rPr>
            <w:color w:val="2F6B45"/>
            <w:sz w:val="21"/>
          </w:rPr>
          <w:t xml:space="preserve">Hovedgrepet: én turnering blir sju lokale saker</w:t>
        </w:r>
      </w:hyperlink>
    </w:p>
    <w:p>
      <w:pPr>
        <w:spacing w:after="40" w:line="240" w:lineRule="auto"/>
        <w:ind w:left="283"/>
      </w:pPr>
      <w:hyperlink w:anchor="ovs2">
        <w:r>
          <w:rPr>
            <w:color w:val="2F6B45"/>
            <w:sz w:val="21"/>
          </w:rPr>
          <w:t xml:space="preserve">De tre øyeblikkene</w:t>
        </w:r>
      </w:hyperlink>
    </w:p>
    <w:p>
      <w:pPr>
        <w:spacing w:after="40" w:line="240" w:lineRule="auto"/>
        <w:ind w:left="283"/>
      </w:pPr>
      <w:hyperlink w:anchor="ovs3">
        <w:r>
          <w:rPr>
            <w:color w:val="2F6B45"/>
            <w:sz w:val="21"/>
          </w:rPr>
          <w:t xml:space="preserve">Rollefordeling — avklares før, ikke under</w:t>
        </w:r>
      </w:hyperlink>
    </w:p>
    <w:p>
      <w:pPr>
        <w:spacing w:after="40" w:line="240" w:lineRule="auto"/>
        <w:ind w:left="283"/>
      </w:pPr>
      <w:hyperlink w:anchor="ovs4">
        <w:r>
          <w:rPr>
            <w:color w:val="2F6B45"/>
            <w:sz w:val="21"/>
          </w:rPr>
          <w:t xml:space="preserve">Data fra CueScore</w:t>
        </w:r>
      </w:hyperlink>
    </w:p>
    <w:p>
      <w:pPr>
        <w:spacing w:after="40" w:line="240" w:lineRule="auto"/>
        <w:ind w:left="283"/>
      </w:pPr>
      <w:hyperlink w:anchor="ovs5">
        <w:r>
          <w:rPr>
            <w:color w:val="2F6B45"/>
            <w:sz w:val="21"/>
          </w:rPr>
          <w:t xml:space="preserve">Mal A — forhåndsomtale, sendes av arrangøren</w:t>
        </w:r>
      </w:hyperlink>
    </w:p>
    <w:p>
      <w:pPr>
        <w:spacing w:after="40" w:line="240" w:lineRule="auto"/>
        <w:ind w:left="283"/>
      </w:pPr>
      <w:hyperlink w:anchor="ovs6">
        <w:r>
          <w:rPr>
            <w:color w:val="2F6B45"/>
            <w:sz w:val="21"/>
          </w:rPr>
          <w:t xml:space="preserve">Mal B — resultatet, sendes samme kveld</w:t>
        </w:r>
      </w:hyperlink>
    </w:p>
    <w:p>
      <w:pPr>
        <w:spacing w:after="40" w:line="240" w:lineRule="auto"/>
        <w:ind w:left="283"/>
      </w:pPr>
      <w:hyperlink w:anchor="ovs7">
        <w:r>
          <w:rPr>
            <w:color w:val="2F6B45"/>
            <w:sz w:val="21"/>
          </w:rPr>
          <w:t xml:space="preserve">Mal C — den lokale vinkelen, sendes av hver klubb</w:t>
        </w:r>
      </w:hyperlink>
    </w:p>
    <w:p>
      <w:pPr>
        <w:spacing w:after="40" w:line="240" w:lineRule="auto"/>
        <w:ind w:left="283"/>
      </w:pPr>
      <w:hyperlink w:anchor="ovs8">
        <w:r>
          <w:rPr>
            <w:color w:val="2F6B45"/>
            <w:sz w:val="21"/>
          </w:rPr>
          <w:t xml:space="preserve">Hva som skiller nivåene</w:t>
        </w:r>
      </w:hyperlink>
    </w:p>
    <w:p>
      <w:pPr>
        <w:spacing w:after="40" w:line="240" w:lineRule="auto"/>
        <w:ind w:left="283"/>
      </w:pPr>
      <w:hyperlink w:anchor="ovs9">
        <w:r>
          <w:rPr>
            <w:color w:val="2F6B45"/>
            <w:sz w:val="21"/>
          </w:rPr>
          <w:t xml:space="preserve">Bilder</w:t>
        </w:r>
      </w:hyperlink>
    </w:p>
    <w:p>
      <w:pPr>
        <w:spacing w:after="40" w:line="240" w:lineRule="auto"/>
        <w:ind w:left="283"/>
      </w:pPr>
      <w:hyperlink w:anchor="ovs10">
        <w:r>
          <w:rPr>
            <w:color w:val="2F6B45"/>
            <w:sz w:val="21"/>
          </w:rPr>
          <w:t xml:space="preserve">Sjekkliste for arrangøren</w:t>
        </w:r>
      </w:hyperlink>
    </w:p>
    <w:p>
      <w:pPr>
        <w:spacing w:after="40" w:line="240" w:lineRule="auto"/>
        <w:ind w:left="283"/>
      </w:pPr>
      <w:hyperlink w:anchor="ovs11">
        <w:r>
          <w:rPr>
            <w:color w:val="2F6B45"/>
            <w:sz w:val="21"/>
          </w:rPr>
          <w:t xml:space="preserve">Se også</w:t>
        </w:r>
      </w:hyperlink>
    </w:p>
    <w:p>
      <w:pPr>
        <w:spacing w:before="80" w:after="240"/>
        <w:pBdr>
          <w:bottom w:val="single" w:sz="4" w:space="4" w:color="3A6B4A"/>
        </w:pBdr>
      </w:pPr>
    </w:p>
    <w:p>
      <w:bookmarkStart w:id="1000" w:name="ovs1"/>
      <w:pPr>
        <w:pStyle w:val="Heading2"/>
        <w:pBdr>
          <w:bottom w:val="single" w:sz="4" w:space="4" w:color="C6D9CC"/>
        </w:pBdr>
      </w:pPr>
      <w:r>
        <w:rPr>
          <w:b/>
          <w:i w:val="0"/>
          <w:color w:val="1F7A4D"/>
          <w:sz w:val="28"/>
        </w:rPr>
        <w:t>Hovedgrepet: én turnering blir sju lokale saker</w:t>
      </w:r>
      <w:bookmarkEnd w:id="1000"/>
    </w:p>
    <w:p>
      <w:r>
        <w:rPr>
          <w:b w:val="0"/>
          <w:i w:val="0"/>
        </w:rPr>
        <w:t>Et norgesmesterskap er ingen nasjonal nyhet. Ingen riksavis trykker det, og det skal de heller ikke.</w:t>
      </w:r>
    </w:p>
    <w:p>
      <w:r>
        <w:rPr>
          <w:b/>
          <w:i w:val="0"/>
        </w:rPr>
        <w:t>Men «Ola fra Mo i Rana ble nummer fem i NM» er en sak i Rana Blad.</w:t>
      </w:r>
      <w:r>
        <w:rPr>
          <w:b w:val="0"/>
          <w:i w:val="0"/>
        </w:rPr>
        <w:t xml:space="preserve"> Hver eneste gang.</w:t>
      </w:r>
    </w:p>
    <w:p>
      <w:r>
        <w:rPr>
          <w:b w:val="0"/>
          <w:i w:val="0"/>
        </w:rPr>
        <w:t>Derfor er ikke jobben til arrangøren å skrive én pressemelding. Jobben er å hente ut den lokale vinkelen for hver klubb som deltok, og sende sju korte tekster til sju lokalaviser. Det er samme arbeid som én pressemelding, fordelt riktig — og det er den eneste måten snooker faktisk kommer på trykk i Norge.</w:t>
      </w:r>
    </w:p>
    <w:p>
      <w:r>
        <w:rPr>
          <w:b w:val="0"/>
          <w:i w:val="0"/>
        </w:rPr>
        <w:t>Dette gjelder like mye for en regional turnering med tolv deltakere som for et nordisk mesterskap.</w:t>
      </w:r>
    </w:p>
    <w:p>
      <w:pPr>
        <w:spacing w:before="120" w:after="200"/>
        <w:pBdr>
          <w:bottom w:val="single" w:sz="4" w:space="4" w:color="C6D9CC"/>
        </w:pBdr>
      </w:pPr>
    </w:p>
    <w:p>
      <w:bookmarkStart w:id="1001" w:name="ovs2"/>
      <w:pPr>
        <w:pStyle w:val="Heading2"/>
        <w:pBdr>
          <w:bottom w:val="single" w:sz="4" w:space="4" w:color="C6D9CC"/>
        </w:pBdr>
      </w:pPr>
      <w:r>
        <w:rPr>
          <w:b/>
          <w:i w:val="0"/>
          <w:color w:val="1F7A4D"/>
          <w:sz w:val="28"/>
        </w:rPr>
        <w:t>De tre øyeblikkene</w:t>
      </w:r>
      <w:bookmarkEnd w:id="1001"/>
    </w:p>
    <w:p>
      <w:r>
        <w:rPr>
          <w:b w:val="0"/>
          <w:i w:val="0"/>
        </w:rPr>
        <w:t xml:space="preserve">Turneringspresse har tre anledninger. De to første er valgfrie. </w:t>
      </w:r>
      <w:r>
        <w:rPr>
          <w:b/>
          <w:i w:val="0"/>
        </w:rPr>
        <w:t>Den tredje er den som faktisk gir dekning, og den er også den ingen har tid til å skrive når den skal sendes.</w:t>
      </w:r>
      <w:r>
        <w:rPr>
          <w:b w:val="0"/>
          <w:i w:val="0"/>
        </w:rPr>
        <w:t xml:space="preserve"> Derfor skrives den ferdig på forhånd, med blanke felt.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  <w:tblBorders>
          <w:top w:val="single" w:sz="8" w:space="0" w:color="3A6B4A"/>
          <w:left w:val="single" w:sz="4" w:space="0" w:color="3A6B4A"/>
          <w:bottom w:val="single" w:sz="8" w:space="0" w:color="3A6B4A"/>
          <w:right w:val="single" w:sz="4" w:space="0" w:color="3A6B4A"/>
          <w:insideH w:val="single" w:sz="4" w:space="0" w:color="3A6B4A"/>
          <w:insideV w:val="single" w:sz="4" w:space="0" w:color="3A6B4A"/>
        </w:tblBorders>
      </w:tblPr>
      <w:tblGrid>
        <w:gridCol w:w="2268"/>
        <w:gridCol w:w="2268"/>
        <w:gridCol w:w="2268"/>
        <w:gridCol w:w="2268"/>
      </w:tblGrid>
      <w:tr>
        <w:trPr>
          <w:cantSplit/>
          <w:tblHeader w:val="true"/>
        </w:trPr>
        <w:tc>
          <w:tcPr>
            <w:tcW w:type="dxa" w:w="2268"/>
            <w:shd w:val="clear" w:color="auto" w:fill="E9F2EC"/>
          </w:tcPr>
          <w:p>
            <w:pPr>
              <w:spacing w:before="60" w:after="60"/>
            </w:pPr>
            <w:r>
              <w:rPr>
                <w:b/>
              </w:rPr>
            </w:r>
            <w:r>
              <w:rPr>
                <w:b/>
                <w:i w:val="0"/>
                <w:color w:val="14532D"/>
                <w:sz w:val="21"/>
              </w:rPr>
              <w:t>Når</w:t>
            </w:r>
          </w:p>
        </w:tc>
        <w:tc>
          <w:tcPr>
            <w:tcW w:type="dxa" w:w="2268"/>
            <w:shd w:val="clear" w:color="auto" w:fill="E9F2EC"/>
          </w:tcPr>
          <w:p>
            <w:pPr>
              <w:spacing w:before="60" w:after="60"/>
            </w:pPr>
            <w:r>
              <w:rPr>
                <w:b/>
              </w:rPr>
            </w:r>
            <w:r>
              <w:rPr>
                <w:b/>
                <w:i w:val="0"/>
                <w:color w:val="14532D"/>
                <w:sz w:val="21"/>
              </w:rPr>
              <w:t>Hva</w:t>
            </w:r>
          </w:p>
        </w:tc>
        <w:tc>
          <w:tcPr>
            <w:tcW w:type="dxa" w:w="2268"/>
            <w:shd w:val="clear" w:color="auto" w:fill="E9F2EC"/>
          </w:tcPr>
          <w:p>
            <w:pPr>
              <w:spacing w:before="60" w:after="60"/>
            </w:pPr>
            <w:r>
              <w:rPr>
                <w:b/>
              </w:rPr>
            </w:r>
            <w:r>
              <w:rPr>
                <w:b/>
                <w:i w:val="0"/>
                <w:color w:val="14532D"/>
                <w:sz w:val="21"/>
              </w:rPr>
              <w:t>Hvem sender</w:t>
            </w:r>
          </w:p>
        </w:tc>
        <w:tc>
          <w:tcPr>
            <w:tcW w:type="dxa" w:w="2268"/>
            <w:shd w:val="clear" w:color="auto" w:fill="E9F2EC"/>
          </w:tcPr>
          <w:p>
            <w:pPr>
              <w:spacing w:before="60" w:after="60"/>
            </w:pPr>
            <w:r>
              <w:rPr>
                <w:b/>
              </w:rPr>
            </w:r>
            <w:r>
              <w:rPr>
                <w:b/>
                <w:i w:val="0"/>
                <w:color w:val="14532D"/>
                <w:sz w:val="21"/>
              </w:rPr>
              <w:t>Effekt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3–4 uker før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«Turneringen arrangeres hos oss» — sted, dato, hvem som kommer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Arrangørklubben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Publikum, sponsorer, frivillige</w:t>
            </w:r>
          </w:p>
        </w:tc>
      </w:tr>
      <w:tr>
        <w:trPr>
          <w:cantSplit/>
        </w:trPr>
        <w:tc>
          <w:tcPr>
            <w:tcW w:type="dxa" w:w="2268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1–2 dager før</w:t>
            </w:r>
          </w:p>
        </w:tc>
        <w:tc>
          <w:tcPr>
            <w:tcW w:type="dxa" w:w="2268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Startliste med lokal vinkel: «tre spillere fra distriktet deltar»</w:t>
            </w:r>
          </w:p>
        </w:tc>
        <w:tc>
          <w:tcPr>
            <w:tcW w:type="dxa" w:w="2268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Arrangør + hver klubb</w:t>
            </w:r>
          </w:p>
        </w:tc>
        <w:tc>
          <w:tcPr>
            <w:tcW w:type="dxa" w:w="2268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Forhåndsomtale, moderat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/>
                <w:i w:val="0"/>
                <w:sz w:val="21"/>
              </w:rPr>
              <w:t>Samme kveld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/>
                <w:i w:val="0"/>
                <w:sz w:val="21"/>
              </w:rPr>
              <w:t>Resultat, vinner, lokale plasseringer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/>
                <w:i w:val="0"/>
                <w:sz w:val="21"/>
              </w:rPr>
              <w:t>Hver klubb for sine egne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/>
                <w:i w:val="0"/>
                <w:sz w:val="21"/>
              </w:rPr>
              <w:t>Høyest — dette trykkes</w:t>
            </w:r>
          </w:p>
        </w:tc>
      </w:tr>
    </w:tbl>
    <w:p>
      <w:pPr>
        <w:spacing w:after="120"/>
      </w:pPr>
    </w:p>
    <w:p>
      <w:r>
        <w:rPr>
          <w:b w:val="0"/>
          <w:i w:val="0"/>
        </w:rPr>
        <w:t>Sendes resultatet dagen etter, er saken død. Lokalaviser publiserer sport samme kveld eller ikke i det hele tatt. Har du teksten ferdig med blanke felt, tar det fire minutter fra finalen er over til e-posten er sendt.</w:t>
      </w:r>
    </w:p>
    <w:p>
      <w:pPr>
        <w:spacing w:before="120" w:after="200"/>
        <w:pBdr>
          <w:bottom w:val="single" w:sz="4" w:space="4" w:color="C6D9CC"/>
        </w:pBdr>
      </w:pPr>
    </w:p>
    <w:p>
      <w:bookmarkStart w:id="1002" w:name="ovs3"/>
      <w:pPr>
        <w:pStyle w:val="Heading2"/>
        <w:pBdr>
          <w:bottom w:val="single" w:sz="4" w:space="4" w:color="C6D9CC"/>
        </w:pBdr>
      </w:pPr>
      <w:r>
        <w:rPr>
          <w:b/>
          <w:i w:val="0"/>
          <w:color w:val="1F7A4D"/>
          <w:sz w:val="28"/>
        </w:rPr>
        <w:t>Rollefordeling — avklares før, ikke under</w:t>
      </w:r>
      <w:bookmarkEnd w:id="1002"/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  <w:tblBorders>
          <w:top w:val="single" w:sz="8" w:space="0" w:color="3A6B4A"/>
          <w:left w:val="single" w:sz="4" w:space="0" w:color="3A6B4A"/>
          <w:bottom w:val="single" w:sz="8" w:space="0" w:color="3A6B4A"/>
          <w:right w:val="single" w:sz="4" w:space="0" w:color="3A6B4A"/>
          <w:insideH w:val="single" w:sz="4" w:space="0" w:color="3A6B4A"/>
          <w:insideV w:val="single" w:sz="4" w:space="0" w:color="3A6B4A"/>
        </w:tblBorders>
      </w:tblPr>
      <w:tblGrid>
        <w:gridCol w:w="3024"/>
        <w:gridCol w:w="3024"/>
        <w:gridCol w:w="3024"/>
      </w:tblGrid>
      <w:tr>
        <w:trPr>
          <w:cantSplit/>
          <w:tblHeader w:val="true"/>
        </w:trPr>
        <w:tc>
          <w:tcPr>
            <w:tcW w:type="dxa" w:w="3024"/>
            <w:shd w:val="clear" w:color="auto" w:fill="E9F2EC"/>
          </w:tcPr>
          <w:p>
            <w:pPr>
              <w:spacing w:before="60" w:after="60"/>
            </w:pPr>
            <w:r>
              <w:rPr>
                <w:b/>
              </w:rPr>
            </w:r>
            <w:r>
              <w:rPr>
                <w:b/>
                <w:i w:val="0"/>
                <w:color w:val="14532D"/>
                <w:sz w:val="21"/>
              </w:rPr>
              <w:t>Nivå</w:t>
            </w:r>
          </w:p>
        </w:tc>
        <w:tc>
          <w:tcPr>
            <w:tcW w:type="dxa" w:w="3024"/>
            <w:shd w:val="clear" w:color="auto" w:fill="E9F2EC"/>
          </w:tcPr>
          <w:p>
            <w:pPr>
              <w:spacing w:before="60" w:after="60"/>
            </w:pPr>
            <w:r>
              <w:rPr>
                <w:b/>
              </w:rPr>
            </w:r>
            <w:r>
              <w:rPr>
                <w:b/>
                <w:i w:val="0"/>
                <w:color w:val="14532D"/>
                <w:sz w:val="21"/>
              </w:rPr>
              <w:t>Hvem uttaler seg</w:t>
            </w:r>
          </w:p>
        </w:tc>
        <w:tc>
          <w:tcPr>
            <w:tcW w:type="dxa" w:w="3024"/>
            <w:shd w:val="clear" w:color="auto" w:fill="E9F2EC"/>
          </w:tcPr>
          <w:p>
            <w:pPr>
              <w:spacing w:before="60" w:after="60"/>
            </w:pPr>
            <w:r>
              <w:rPr>
                <w:b/>
              </w:rPr>
            </w:r>
            <w:r>
              <w:rPr>
                <w:b/>
                <w:i w:val="0"/>
                <w:color w:val="14532D"/>
                <w:sz w:val="21"/>
              </w:rPr>
              <w:t>Merk</w:t>
            </w:r>
          </w:p>
        </w:tc>
      </w:tr>
      <w:tr>
        <w:trPr>
          <w:cantSplit/>
        </w:trPr>
        <w:tc>
          <w:tcPr>
            <w:tcW w:type="dxa" w:w="3024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Klubbturnering, regionalt</w:t>
            </w:r>
          </w:p>
        </w:tc>
        <w:tc>
          <w:tcPr>
            <w:tcW w:type="dxa" w:w="3024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Arrangørklubben</w:t>
            </w:r>
          </w:p>
        </w:tc>
        <w:tc>
          <w:tcPr>
            <w:tcW w:type="dxa" w:w="3024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Fritt fram</w:t>
            </w:r>
          </w:p>
        </w:tc>
      </w:tr>
      <w:tr>
        <w:trPr>
          <w:cantSplit/>
        </w:trPr>
        <w:tc>
          <w:tcPr>
            <w:tcW w:type="dxa" w:w="3024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Norgescup</w:t>
            </w:r>
          </w:p>
        </w:tc>
        <w:tc>
          <w:tcPr>
            <w:tcW w:type="dxa" w:w="3024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Arrangørklubben om arrangementet, klubbene om sine egne spillere</w:t>
            </w:r>
          </w:p>
        </w:tc>
        <w:tc>
          <w:tcPr>
            <w:tcW w:type="dxa" w:w="3024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—</w:t>
            </w:r>
          </w:p>
        </w:tc>
      </w:tr>
      <w:tr>
        <w:trPr>
          <w:cantSplit/>
        </w:trPr>
        <w:tc>
          <w:tcPr>
            <w:tcW w:type="dxa" w:w="3024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Norgesmesterskap</w:t>
            </w:r>
          </w:p>
        </w:tc>
        <w:tc>
          <w:tcPr>
            <w:tcW w:type="dxa" w:w="3024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Arrangørklubben på lik linje med NBF</w:t>
            </w:r>
          </w:p>
        </w:tc>
        <w:tc>
          <w:tcPr>
            <w:tcW w:type="dxa" w:w="3024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Under avklaring</w:t>
            </w:r>
          </w:p>
        </w:tc>
      </w:tr>
      <w:tr>
        <w:trPr>
          <w:cantSplit/>
        </w:trPr>
        <w:tc>
          <w:tcPr>
            <w:tcW w:type="dxa" w:w="3024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Nordisk mesterskap</w:t>
            </w:r>
          </w:p>
        </w:tc>
        <w:tc>
          <w:tcPr>
            <w:tcW w:type="dxa" w:w="3024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Arrangørklubben på lik linje med NBF</w:t>
            </w:r>
          </w:p>
        </w:tc>
        <w:tc>
          <w:tcPr>
            <w:tcW w:type="dxa" w:w="3024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Under avklaring. Navn, logoer og bilderettigheter kan være begrenset</w:t>
            </w:r>
          </w:p>
        </w:tc>
      </w:tr>
    </w:tbl>
    <w:p>
      <w:pPr>
        <w:spacing w:after="120"/>
      </w:pPr>
    </w:p>
    <w:p>
      <w:r>
        <w:rPr>
          <w:b/>
          <w:i w:val="0"/>
        </w:rPr>
        <w:t>Prosjektets posisjon:</w:t>
      </w:r>
      <w:r>
        <w:rPr>
          <w:b w:val="0"/>
          <w:i w:val="0"/>
        </w:rPr>
        <w:t xml:space="preserve"> arrangørklubben skal kunne uttale seg om arrangementet på lik linje med forbundet. Arrangøren er den som står i lokalet, kjenner resultatene og kan svare lokalavisa samme kveld. Forbundet uttaler seg om det nasjonale, arrangøren om arrangementet — de to er ikke i konflikt.</w:t>
      </w:r>
    </w:p>
    <w:p>
      <w:r>
        <w:rPr>
          <w:b w:val="0"/>
          <w:i w:val="0"/>
        </w:rPr>
        <w:t xml:space="preserve">Én ting står fast uansett hva avklaringen lander på: </w:t>
      </w:r>
      <w:r>
        <w:rPr>
          <w:b/>
          <w:i w:val="0"/>
        </w:rPr>
        <w:t>klubbene kan alltid omtale sine egne spilleres resultater lokalt.</w:t>
      </w:r>
      <w:r>
        <w:rPr>
          <w:b w:val="0"/>
          <w:i w:val="0"/>
        </w:rPr>
        <w:t xml:space="preserve"> Det er noe annet enn å uttale seg </w:t>
      </w:r>
      <w:r>
        <w:rPr>
          <w:b w:val="0"/>
          <w:i/>
        </w:rPr>
        <w:t>på vegne av</w:t>
      </w:r>
      <w:r>
        <w:rPr>
          <w:b w:val="0"/>
          <w:i w:val="0"/>
        </w:rPr>
        <w:t xml:space="preserve"> mesterskapet.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24" w:space="0" w:color="3A6B4A"/>
          <w:top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072"/>
      </w:tblGrid>
      <w:tr>
        <w:tc>
          <w:tcPr>
            <w:tcW w:type="dxa" w:w="9072"/>
            <w:shd w:val="clear" w:color="auto" w:fill="E9F2EC"/>
          </w:tcPr>
          <w:p>
            <w:pPr>
              <w:spacing w:before="100" w:after="100"/>
            </w:pPr>
            <w:r/>
            <w:r>
              <w:rPr>
                <w:b/>
                <w:i w:val="0"/>
                <w:color w:val="14532D"/>
              </w:rPr>
              <w:t>Under avklaring.</w:t>
            </w:r>
            <w:r>
              <w:rPr>
                <w:b w:val="0"/>
                <w:i w:val="0"/>
                <w:color w:val="14532D"/>
              </w:rPr>
              <w:t xml:space="preserve"> Spørsmålet ligger hos generalsekretæren i NBF sammen med to andre. Sier forbundet noe annet, rettes dette dokumentet. Se </w:t>
            </w:r>
            <w:r>
              <w:rPr>
                <w:b w:val="0"/>
                <w:i w:val="0"/>
                <w:color w:val="3A6B4A"/>
              </w:rPr>
              <w:t>2026-08-09-presse-hvem-uttaler-seg</w:t>
            </w:r>
            <w:r>
              <w:rPr>
                <w:b w:val="0"/>
                <w:i w:val="0"/>
                <w:color w:val="14532D"/>
              </w:rPr>
              <w:t>.</w:t>
            </w:r>
          </w:p>
          <w:p>
            <w:pPr>
              <w:spacing w:after="0"/>
            </w:pPr>
          </w:p>
        </w:tc>
      </w:tr>
    </w:tbl>
    <w:p>
      <w:pPr>
        <w:spacing w:after="120"/>
      </w:pPr>
    </w:p>
    <w:p>
      <w:r>
        <w:rPr>
          <w:b w:val="0"/>
          <w:i w:val="0"/>
        </w:rPr>
        <w:t>En praktisk grunn til at posisjonen må være slik: en resultatsak skal sendes samme kveld. Ingen rekker å innhente godkjenning mens finalen spilles. En sperre ville i praksis fjernet mesterskapene fra opplegget.</w:t>
      </w:r>
    </w:p>
    <w:p>
      <w:pPr>
        <w:spacing w:before="120" w:after="200"/>
        <w:pBdr>
          <w:bottom w:val="single" w:sz="4" w:space="4" w:color="C6D9CC"/>
        </w:pBdr>
      </w:pPr>
    </w:p>
    <w:p>
      <w:bookmarkStart w:id="1003" w:name="ovs4"/>
      <w:pPr>
        <w:pStyle w:val="Heading2"/>
        <w:pBdr>
          <w:bottom w:val="single" w:sz="4" w:space="4" w:color="C6D9CC"/>
        </w:pBdr>
      </w:pPr>
      <w:r>
        <w:rPr>
          <w:b/>
          <w:i w:val="0"/>
          <w:color w:val="1F7A4D"/>
          <w:sz w:val="28"/>
        </w:rPr>
        <w:t>Data fra CueScore</w:t>
      </w:r>
      <w:bookmarkEnd w:id="1003"/>
    </w:p>
    <w:p>
      <w:r>
        <w:rPr>
          <w:b w:val="0"/>
          <w:i w:val="0"/>
        </w:rPr>
        <w:t xml:space="preserve">CueScore har et </w:t>
      </w:r>
      <w:r>
        <w:rPr>
          <w:b/>
          <w:i w:val="0"/>
        </w:rPr>
        <w:t>åpent API i beta</w:t>
      </w:r>
      <w:r>
        <w:rPr>
          <w:b w:val="0"/>
          <w:i w:val="0"/>
        </w:rPr>
        <w:t xml:space="preserve"> på </w:t>
      </w:r>
      <w:r>
        <w:rPr>
          <w:rFonts w:ascii="Consolas" w:hAnsi="Consolas"/>
          <w:b w:val="0"/>
          <w:i w:val="0"/>
          <w:sz w:val="19"/>
        </w:rPr>
        <w:t>api.cuescore.com</w:t>
      </w:r>
      <w:r>
        <w:rPr>
          <w:b w:val="0"/>
          <w:i w:val="0"/>
        </w:rPr>
        <w:t>. Det gir JSON for turneringer, kamper, resultater, deltakere, rankinglister, poengsystem, spillesteder og handicaplister.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24" w:space="0" w:color="3A6B4A"/>
          <w:top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072"/>
      </w:tblGrid>
      <w:tr>
        <w:tc>
          <w:tcPr>
            <w:tcW w:type="dxa" w:w="9072"/>
            <w:shd w:val="clear" w:color="auto" w:fill="E9F2EC"/>
          </w:tcPr>
          <w:p>
            <w:pPr>
              <w:spacing w:before="100" w:after="100"/>
            </w:pPr>
            <w:r/>
            <w:r>
              <w:rPr>
                <w:b/>
                <w:i w:val="0"/>
                <w:color w:val="14532D"/>
              </w:rPr>
              <w:t>Beta betyr beta.</w:t>
            </w:r>
            <w:r>
              <w:rPr>
                <w:b w:val="0"/>
                <w:i w:val="0"/>
                <w:color w:val="14532D"/>
              </w:rPr>
              <w:t xml:space="preserve"> CueScore skriver selv at datasettet kan endres når som helst, og at dokumentasjonen er så godt som fraværende. Endepunkter og feltnavn må bekreftes med </w:t>
            </w:r>
            <w:r>
              <w:rPr>
                <w:rFonts w:ascii="Consolas" w:hAnsi="Consolas"/>
                <w:b w:val="0"/>
                <w:i w:val="0"/>
                <w:color w:val="14532D"/>
                <w:sz w:val="19"/>
              </w:rPr>
              <w:t>support@cuescore.com</w:t>
            </w:r>
            <w:r>
              <w:rPr>
                <w:b w:val="0"/>
                <w:i w:val="0"/>
                <w:color w:val="14532D"/>
              </w:rPr>
              <w:t xml:space="preserve"> før noe bygges som er avhengig av dem. Til å fylle ut en pressemelding trengs det uansett ikke — resultatsiden i nettleseren har alt.</w:t>
            </w:r>
          </w:p>
          <w:p>
            <w:pPr>
              <w:spacing w:after="0"/>
            </w:pPr>
          </w:p>
        </w:tc>
      </w:tr>
    </w:tbl>
    <w:p>
      <w:pPr>
        <w:spacing w:after="120"/>
      </w:pPr>
    </w:p>
    <w:p>
      <w:r>
        <w:rPr>
          <w:b/>
          <w:i w:val="0"/>
        </w:rPr>
        <w:t>To ting må avklares før prosjektet bygger noe på CueScore:</w:t>
      </w:r>
    </w:p>
    <w:p>
      <w:pPr>
        <w:pStyle w:val="ListNumber"/>
        <w:numPr>
          <w:ilvl w:val="0"/>
          <w:numId w:val="10"/>
        </w:numPr>
      </w:pPr>
      <w:r>
        <w:rPr>
          <w:b w:val="0"/>
          <w:i w:val="0"/>
        </w:rPr>
        <w:t>Hva NBFs eksisterende CueScore-lisens dekker. Spørsmålet ligger allerede hos generalsekretæren. Vi skal ikke kjøpe eller be om noe forbundet allerede har.</w:t>
      </w:r>
    </w:p>
    <w:p>
      <w:pPr>
        <w:pStyle w:val="ListNumber"/>
        <w:numPr>
          <w:ilvl w:val="0"/>
          <w:numId w:val="10"/>
        </w:numPr>
      </w:pPr>
      <w:r>
        <w:rPr>
          <w:b w:val="0"/>
          <w:i w:val="0"/>
        </w:rPr>
        <w:t>Om API-et kan kalles fra en nettleser, eller bare fra en server. Det avgjør om resultater kan vises direkte på nettstedet.</w:t>
      </w:r>
    </w:p>
    <w:p>
      <w:pPr>
        <w:pStyle w:val="Heading3"/>
      </w:pPr>
      <w:r>
        <w:rPr>
          <w:b/>
          <w:i w:val="0"/>
          <w:color w:val="2F6B45"/>
          <w:sz w:val="24"/>
        </w:rPr>
        <w:t>Felter som skal hentes, og hvor de havner i teksten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  <w:tblBorders>
          <w:top w:val="single" w:sz="8" w:space="0" w:color="3A6B4A"/>
          <w:left w:val="single" w:sz="4" w:space="0" w:color="3A6B4A"/>
          <w:bottom w:val="single" w:sz="8" w:space="0" w:color="3A6B4A"/>
          <w:right w:val="single" w:sz="4" w:space="0" w:color="3A6B4A"/>
          <w:insideH w:val="single" w:sz="4" w:space="0" w:color="3A6B4A"/>
          <w:insideV w:val="single" w:sz="4" w:space="0" w:color="3A6B4A"/>
        </w:tblBorders>
      </w:tblPr>
      <w:tblGrid>
        <w:gridCol w:w="4536"/>
        <w:gridCol w:w="4536"/>
      </w:tblGrid>
      <w:tr>
        <w:trPr>
          <w:cantSplit/>
          <w:tblHeader w:val="true"/>
        </w:trPr>
        <w:tc>
          <w:tcPr>
            <w:tcW w:type="dxa" w:w="4536"/>
            <w:shd w:val="clear" w:color="auto" w:fill="E9F2EC"/>
          </w:tcPr>
          <w:p>
            <w:pPr>
              <w:spacing w:before="60" w:after="60"/>
            </w:pPr>
            <w:r>
              <w:rPr>
                <w:b/>
              </w:rPr>
            </w:r>
            <w:r>
              <w:rPr>
                <w:b/>
                <w:i w:val="0"/>
                <w:color w:val="14532D"/>
                <w:sz w:val="21"/>
              </w:rPr>
              <w:t>Fra CueScore</w:t>
            </w:r>
          </w:p>
        </w:tc>
        <w:tc>
          <w:tcPr>
            <w:tcW w:type="dxa" w:w="4536"/>
            <w:shd w:val="clear" w:color="auto" w:fill="E9F2EC"/>
          </w:tcPr>
          <w:p>
            <w:pPr>
              <w:spacing w:before="60" w:after="60"/>
            </w:pPr>
            <w:r>
              <w:rPr>
                <w:b/>
              </w:rPr>
            </w:r>
            <w:r>
              <w:rPr>
                <w:b/>
                <w:i w:val="0"/>
                <w:color w:val="14532D"/>
                <w:sz w:val="21"/>
              </w:rPr>
              <w:t>Inn i pressemeldingen</w:t>
            </w:r>
          </w:p>
        </w:tc>
      </w:tr>
      <w:tr>
        <w:trPr>
          <w:cantSplit/>
        </w:trPr>
        <w:tc>
          <w:tcPr>
            <w:tcW w:type="dxa" w:w="453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Turneringsnavn og dato</w:t>
            </w:r>
          </w:p>
        </w:tc>
        <w:tc>
          <w:tcPr>
            <w:tcW w:type="dxa" w:w="453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Overskrift og ingress</w:t>
            </w:r>
          </w:p>
        </w:tc>
      </w:tr>
      <w:tr>
        <w:trPr>
          <w:cantSplit/>
        </w:trPr>
        <w:tc>
          <w:tcPr>
            <w:tcW w:type="dxa" w:w="4536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Spillested</w:t>
            </w:r>
          </w:p>
        </w:tc>
        <w:tc>
          <w:tcPr>
            <w:tcW w:type="dxa" w:w="4536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«arrangert hos {KLUBB} i {STED}»</w:t>
            </w:r>
          </w:p>
        </w:tc>
      </w:tr>
      <w:tr>
        <w:trPr>
          <w:cantSplit/>
        </w:trPr>
        <w:tc>
          <w:tcPr>
            <w:tcW w:type="dxa" w:w="453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Antall deltakere</w:t>
            </w:r>
          </w:p>
        </w:tc>
        <w:tc>
          <w:tcPr>
            <w:tcW w:type="dxa" w:w="453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«{N} spillere fra hele landet»</w:t>
            </w:r>
          </w:p>
        </w:tc>
      </w:tr>
      <w:tr>
        <w:trPr>
          <w:cantSplit/>
        </w:trPr>
        <w:tc>
          <w:tcPr>
            <w:tcW w:type="dxa" w:w="4536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Vinner og finalist</w:t>
            </w:r>
          </w:p>
        </w:tc>
        <w:tc>
          <w:tcPr>
            <w:tcW w:type="dxa" w:w="4536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Hovedsaken</w:t>
            </w:r>
          </w:p>
        </w:tc>
      </w:tr>
      <w:tr>
        <w:trPr>
          <w:cantSplit/>
        </w:trPr>
        <w:tc>
          <w:tcPr>
            <w:tcW w:type="dxa" w:w="453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Finaleresultat i frames</w:t>
            </w:r>
          </w:p>
        </w:tc>
        <w:tc>
          <w:tcPr>
            <w:tcW w:type="dxa" w:w="453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«vant finalen 5–3»</w:t>
            </w:r>
          </w:p>
        </w:tc>
      </w:tr>
      <w:tr>
        <w:trPr>
          <w:cantSplit/>
        </w:trPr>
        <w:tc>
          <w:tcPr>
            <w:tcW w:type="dxa" w:w="4536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Plassering per spiller</w:t>
            </w:r>
          </w:p>
        </w:tc>
        <w:tc>
          <w:tcPr>
            <w:tcW w:type="dxa" w:w="4536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/>
                <w:i w:val="0"/>
                <w:sz w:val="21"/>
              </w:rPr>
              <w:t>Den lokale vinkelen — viktigst</w:t>
            </w:r>
          </w:p>
        </w:tc>
      </w:tr>
      <w:tr>
        <w:trPr>
          <w:cantSplit/>
        </w:trPr>
        <w:tc>
          <w:tcPr>
            <w:tcW w:type="dxa" w:w="453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Klubbtilhørighet per spiller</w:t>
            </w:r>
          </w:p>
        </w:tc>
        <w:tc>
          <w:tcPr>
            <w:tcW w:type="dxa" w:w="453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Sorteringen som gir sju saker av én</w:t>
            </w:r>
          </w:p>
        </w:tc>
      </w:tr>
      <w:tr>
        <w:trPr>
          <w:cantSplit/>
        </w:trPr>
        <w:tc>
          <w:tcPr>
            <w:tcW w:type="dxa" w:w="4536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Høyeste break</w:t>
            </w:r>
          </w:p>
        </w:tc>
        <w:tc>
          <w:tcPr>
            <w:tcW w:type="dxa" w:w="4536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Egen liten sak hvis tallet er høyt</w:t>
            </w:r>
          </w:p>
        </w:tc>
      </w:tr>
    </w:tbl>
    <w:p>
      <w:pPr>
        <w:spacing w:after="120"/>
      </w:pPr>
    </w:p>
    <w:p>
      <w:r>
        <w:rPr>
          <w:b w:val="0"/>
          <w:i w:val="0"/>
        </w:rPr>
        <w:t>Høyeste break er verdt å merke seg særskilt. Det er det eneste tallet i snooker en utenforstående umiddelbart forstår som en prestasjon, og det er også hovedargumentet for at CueScore bør registrere poeng innen frame. I dag må det noteres manuelt.</w:t>
      </w:r>
    </w:p>
    <w:p>
      <w:pPr>
        <w:spacing w:before="120" w:after="200"/>
        <w:pBdr>
          <w:bottom w:val="single" w:sz="4" w:space="4" w:color="C6D9CC"/>
        </w:pBdr>
      </w:pPr>
    </w:p>
    <w:p>
      <w:bookmarkStart w:id="1004" w:name="ovs5"/>
      <w:pPr>
        <w:pStyle w:val="Heading2"/>
        <w:pBdr>
          <w:bottom w:val="single" w:sz="4" w:space="4" w:color="C6D9CC"/>
        </w:pBdr>
      </w:pPr>
      <w:r>
        <w:rPr>
          <w:b/>
          <w:i w:val="0"/>
          <w:color w:val="1F7A4D"/>
          <w:sz w:val="28"/>
        </w:rPr>
        <w:t>Mal A — forhåndsomtale, sendes av arrangøren</w:t>
      </w:r>
      <w:bookmarkEnd w:id="1004"/>
    </w:p>
    <w:tbl>
      <w:tblPr>
        <w:tblW w:type="auto" w:w="0"/>
        <w:tblLook w:firstColumn="1" w:firstRow="1" w:lastColumn="0" w:lastRow="0" w:noHBand="0" w:noVBand="1" w:val="04A0"/>
        <w:tblBorders>
          <w:left w:val="single" w:sz="24" w:space="0" w:color="3A6B4A"/>
          <w:top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072"/>
      </w:tblGrid>
      <w:tr>
        <w:tc>
          <w:tcPr>
            <w:tcW w:type="dxa" w:w="9072"/>
            <w:shd w:val="clear" w:color="auto" w:fill="E9F2EC"/>
          </w:tcPr>
          <w:p>
            <w:pPr>
              <w:spacing w:before="100" w:after="100"/>
            </w:pPr>
            <w:r/>
            <w:r>
              <w:rPr>
                <w:b/>
                <w:i w:val="0"/>
                <w:color w:val="14532D"/>
              </w:rPr>
              <w:t>{TURNERINGSNAVN} arrangeres i {STED} {DATO}</w:t>
            </w:r>
          </w:p>
          <w:p>
            <w:pPr>
              <w:spacing w:before="100" w:after="100"/>
            </w:pPr>
            <w:r>
              <w:rPr>
                <w:b w:val="0"/>
                <w:i w:val="0"/>
                <w:color w:val="14532D"/>
              </w:rPr>
              <w:t>{STED}: {ARRANGØRKLUBB} er vertskap når {TURNERINGSNAVN} spilles {DATO}. {ANTALL} spillere fra {ANTALL} klubber deltar.</w:t>
            </w:r>
          </w:p>
          <w:p>
            <w:pPr>
              <w:spacing w:before="100" w:after="100"/>
            </w:pPr>
            <w:r>
              <w:rPr>
                <w:b w:val="0"/>
                <w:i w:val="0"/>
                <w:color w:val="14532D"/>
              </w:rPr>
              <w:t>«{SITAT — hvorfor det betyr noe at turneringen kommer hit}», sier {NAVN}, {ROLLE} i {ARRANGØRKLUBB}.</w:t>
            </w:r>
          </w:p>
          <w:p>
            <w:pPr>
              <w:spacing w:before="100" w:after="100"/>
            </w:pPr>
            <w:r>
              <w:rPr>
                <w:b w:val="0"/>
                <w:i w:val="0"/>
                <w:color w:val="14532D"/>
              </w:rPr>
              <w:t>Det spilles i {ADRESSE}. {PUBLIKUMSINFO — gratis inngang, når finalen går, om det er kafé}. {EVENTUELL STREAMING-LENKE}.</w:t>
            </w:r>
          </w:p>
          <w:p>
            <w:pPr>
              <w:spacing w:before="100" w:after="100"/>
            </w:pPr>
            <w:r>
              <w:rPr>
                <w:b w:val="0"/>
                <w:i w:val="0"/>
                <w:color w:val="14532D"/>
              </w:rPr>
              <w:t>Snooker spilles på bord som er {BORDSTØRRELSE}, og en kamp avgjøres i {FORMAT}. {ÉN SETNING SOM FORKLARER SPILLET FOR EN SOM IKKE KAN DET}.</w:t>
            </w:r>
          </w:p>
          <w:p>
            <w:pPr>
              <w:spacing w:before="100" w:after="100"/>
            </w:pPr>
            <w:r>
              <w:rPr>
                <w:b/>
                <w:i w:val="0"/>
                <w:color w:val="14532D"/>
              </w:rPr>
              <w:t>Kontakt:</w:t>
            </w:r>
            <w:r>
              <w:rPr>
                <w:b w:val="0"/>
                <w:i w:val="0"/>
                <w:color w:val="14532D"/>
              </w:rPr>
              <w:t xml:space="preserve"> {NAVN}, {TELEFON} </w:t>
            </w:r>
            <w:r>
              <w:rPr>
                <w:b/>
                <w:i w:val="0"/>
                <w:color w:val="14532D"/>
              </w:rPr>
              <w:t>Resultater underveis:</w:t>
            </w:r>
            <w:r>
              <w:rPr>
                <w:b w:val="0"/>
                <w:i w:val="0"/>
                <w:color w:val="14532D"/>
              </w:rPr>
              <w:t xml:space="preserve"> {CUESCORE-LENKE}</w:t>
            </w:r>
          </w:p>
          <w:p>
            <w:pPr>
              <w:spacing w:after="0"/>
            </w:pPr>
          </w:p>
        </w:tc>
      </w:tr>
    </w:tbl>
    <w:p>
      <w:pPr>
        <w:spacing w:after="120"/>
      </w:pPr>
    </w:p>
    <w:p>
      <w:bookmarkStart w:id="1005" w:name="ovs6"/>
      <w:pPr>
        <w:pStyle w:val="Heading2"/>
        <w:pBdr>
          <w:bottom w:val="single" w:sz="4" w:space="4" w:color="C6D9CC"/>
        </w:pBdr>
      </w:pPr>
      <w:r>
        <w:rPr>
          <w:b/>
          <w:i w:val="0"/>
          <w:color w:val="1F7A4D"/>
          <w:sz w:val="28"/>
        </w:rPr>
        <w:t>Mal B — resultatet, sendes samme kveld</w:t>
      </w:r>
      <w:bookmarkEnd w:id="1005"/>
    </w:p>
    <w:p>
      <w:r>
        <w:rPr>
          <w:b w:val="0"/>
          <w:i w:val="0"/>
        </w:rPr>
        <w:t xml:space="preserve">Denne skrives ferdig </w:t>
      </w:r>
      <w:r>
        <w:rPr>
          <w:b/>
          <w:i w:val="0"/>
        </w:rPr>
        <w:t>før</w:t>
      </w:r>
      <w:r>
        <w:rPr>
          <w:b w:val="0"/>
          <w:i w:val="0"/>
        </w:rPr>
        <w:t xml:space="preserve"> turneringen, med blanke felt. Fyll ut og send.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24" w:space="0" w:color="3A6B4A"/>
          <w:top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072"/>
      </w:tblGrid>
      <w:tr>
        <w:tc>
          <w:tcPr>
            <w:tcW w:type="dxa" w:w="9072"/>
            <w:shd w:val="clear" w:color="auto" w:fill="E9F2EC"/>
          </w:tcPr>
          <w:p>
            <w:pPr>
              <w:spacing w:before="100" w:after="100"/>
            </w:pPr>
            <w:r/>
            <w:r>
              <w:rPr>
                <w:b/>
                <w:i w:val="0"/>
                <w:color w:val="14532D"/>
              </w:rPr>
              <w:t>{VINNERNAVN} vant {TURNERINGSNAVN} i {STED}</w:t>
            </w:r>
          </w:p>
          <w:p>
            <w:pPr>
              <w:spacing w:before="100" w:after="100"/>
            </w:pPr>
            <w:r>
              <w:rPr>
                <w:b w:val="0"/>
                <w:i w:val="0"/>
                <w:color w:val="14532D"/>
              </w:rPr>
              <w:t>{STED}: {VINNERNAVN} fra {VINNERKLUBB} vant {TURNERINGSNAVN} {DATO} etter {RESULTAT} mot {FINALISTNAVN} fra {FINALISTKLUBB}. {ANTALL} spillere deltok.</w:t>
            </w:r>
          </w:p>
          <w:p>
            <w:pPr>
              <w:spacing w:before="100" w:after="100"/>
            </w:pPr>
            <w:r>
              <w:rPr>
                <w:b w:val="0"/>
                <w:i w:val="0"/>
                <w:color w:val="14532D"/>
              </w:rPr>
              <w:t>«{SITAT FRA VINNEREN — ett spørsmål på vei ut av salen holder}»</w:t>
            </w:r>
          </w:p>
          <w:p>
            <w:pPr>
              <w:spacing w:before="100" w:after="100"/>
            </w:pPr>
            <w:r>
              <w:rPr>
                <w:b w:val="0"/>
                <w:i w:val="0"/>
                <w:color w:val="14532D"/>
              </w:rPr>
              <w:t>{HØYESTE BREAK-SETNING hvis tallet er verdt å nevne.}</w:t>
            </w:r>
          </w:p>
          <w:p>
            <w:pPr>
              <w:spacing w:before="100" w:after="100"/>
            </w:pPr>
            <w:r>
              <w:rPr>
                <w:b w:val="0"/>
                <w:i w:val="0"/>
                <w:color w:val="14532D"/>
              </w:rPr>
              <w:t>Turneringen ble arrangert av {ARRANGØRKLUBB} i {ADRESSE}.</w:t>
            </w:r>
          </w:p>
          <w:p>
            <w:pPr>
              <w:spacing w:before="100" w:after="100"/>
            </w:pPr>
            <w:r>
              <w:rPr>
                <w:b/>
                <w:i w:val="0"/>
                <w:color w:val="14532D"/>
              </w:rPr>
              <w:t>Fullstendige resultater:</w:t>
            </w:r>
            <w:r>
              <w:rPr>
                <w:b w:val="0"/>
                <w:i w:val="0"/>
                <w:color w:val="14532D"/>
              </w:rPr>
              <w:t xml:space="preserve"> {CUESCORE-LENKE} </w:t>
            </w:r>
            <w:r>
              <w:rPr>
                <w:b/>
                <w:i w:val="0"/>
                <w:color w:val="14532D"/>
              </w:rPr>
              <w:t>Kontakt:</w:t>
            </w:r>
            <w:r>
              <w:rPr>
                <w:b w:val="0"/>
                <w:i w:val="0"/>
                <w:color w:val="14532D"/>
              </w:rPr>
              <w:t xml:space="preserve"> {NAVN}, {TELEFON} </w:t>
            </w:r>
            <w:r>
              <w:rPr>
                <w:b/>
                <w:i w:val="0"/>
                <w:color w:val="14532D"/>
              </w:rPr>
              <w:t>Bilder:</w:t>
            </w:r>
            <w:r>
              <w:rPr>
                <w:b w:val="0"/>
                <w:i w:val="0"/>
                <w:color w:val="14532D"/>
              </w:rPr>
              <w:t xml:space="preserve"> vedlagt, fri bruk med kreditering {FOTOGRAF}</w:t>
            </w:r>
          </w:p>
          <w:p>
            <w:pPr>
              <w:spacing w:after="0"/>
            </w:pPr>
          </w:p>
        </w:tc>
      </w:tr>
    </w:tbl>
    <w:p>
      <w:pPr>
        <w:spacing w:after="120"/>
      </w:pPr>
    </w:p>
    <w:p>
      <w:bookmarkStart w:id="1006" w:name="ovs7"/>
      <w:pPr>
        <w:pStyle w:val="Heading2"/>
        <w:pBdr>
          <w:bottom w:val="single" w:sz="4" w:space="4" w:color="C6D9CC"/>
        </w:pBdr>
      </w:pPr>
      <w:r>
        <w:rPr>
          <w:b/>
          <w:i w:val="0"/>
          <w:color w:val="1F7A4D"/>
          <w:sz w:val="28"/>
        </w:rPr>
        <w:t>Mal C — den lokale vinkelen, sendes av hver klubb</w:t>
      </w:r>
      <w:bookmarkEnd w:id="1006"/>
    </w:p>
    <w:p>
      <w:r>
        <w:rPr>
          <w:b w:val="0"/>
          <w:i w:val="0"/>
        </w:rPr>
        <w:t>Den viktigste av de tre. Kort, konkret, og sendt til klubbens egen lokalavis.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24" w:space="0" w:color="3A6B4A"/>
          <w:top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072"/>
      </w:tblGrid>
      <w:tr>
        <w:tc>
          <w:tcPr>
            <w:tcW w:type="dxa" w:w="9072"/>
            <w:shd w:val="clear" w:color="auto" w:fill="E9F2EC"/>
          </w:tcPr>
          <w:p>
            <w:pPr>
              <w:spacing w:before="100" w:after="100"/>
            </w:pPr>
            <w:r/>
            <w:r>
              <w:rPr>
                <w:b/>
                <w:i w:val="0"/>
                <w:color w:val="14532D"/>
              </w:rPr>
              <w:t>{SPILLERNAVN} fra {KLUBB} ble nummer {PLASSERING} i {TURNERINGSNAVN}</w:t>
            </w:r>
          </w:p>
          <w:p>
            <w:pPr>
              <w:spacing w:before="100" w:after="100"/>
            </w:pPr>
            <w:r>
              <w:rPr>
                <w:b w:val="0"/>
                <w:i w:val="0"/>
                <w:color w:val="14532D"/>
              </w:rPr>
              <w:t>{SPILLERNAVN} ({ALDER}) fra {KLUBB} endte på {PLASSERING}. plass da {TURNERINGSNAVN} ble spilt i {STED} {DATO}. {ANTALL} spillere deltok.</w:t>
            </w:r>
          </w:p>
          <w:p>
            <w:pPr>
              <w:spacing w:before="100" w:after="100"/>
            </w:pPr>
            <w:r>
              <w:rPr>
                <w:b w:val="0"/>
                <w:i w:val="0"/>
                <w:color w:val="14532D"/>
              </w:rPr>
              <w:t>{ÉN SETNING OM VEIEN DIT — hvem han slo, eller hvor jevnt det var.}</w:t>
            </w:r>
          </w:p>
          <w:p>
            <w:pPr>
              <w:spacing w:before="100" w:after="100"/>
            </w:pPr>
            <w:r>
              <w:rPr>
                <w:b w:val="0"/>
                <w:i w:val="0"/>
                <w:color w:val="14532D"/>
              </w:rPr>
              <w:t>«{SITAT}», sier {SPILLERNAVN}.</w:t>
            </w:r>
          </w:p>
          <w:p>
            <w:pPr>
              <w:spacing w:before="100" w:after="100"/>
            </w:pPr>
            <w:r>
              <w:rPr>
                <w:b w:val="0"/>
                <w:i w:val="0"/>
                <w:color w:val="14532D"/>
              </w:rPr>
              <w:t>{KLUBB} holder til i {ADRESSE} og har {MEDLEMSTALL} medlemmer. {SETNING OM NESTE SNOOKERSKOLE, hvis en pulje er satt opp.}</w:t>
            </w:r>
          </w:p>
          <w:p>
            <w:pPr>
              <w:spacing w:before="100" w:after="100"/>
            </w:pPr>
            <w:r>
              <w:rPr>
                <w:b/>
                <w:i w:val="0"/>
                <w:color w:val="14532D"/>
              </w:rPr>
              <w:t>Kontakt:</w:t>
            </w:r>
            <w:r>
              <w:rPr>
                <w:b w:val="0"/>
                <w:i w:val="0"/>
                <w:color w:val="14532D"/>
              </w:rPr>
              <w:t xml:space="preserve"> {NAVN}, {TELEFON}</w:t>
            </w:r>
          </w:p>
          <w:p>
            <w:pPr>
              <w:spacing w:after="0"/>
            </w:pPr>
          </w:p>
        </w:tc>
      </w:tr>
    </w:tbl>
    <w:p>
      <w:pPr>
        <w:spacing w:after="120"/>
      </w:pPr>
    </w:p>
    <w:p>
      <w:r>
        <w:rPr>
          <w:b/>
          <w:i w:val="0"/>
        </w:rPr>
        <w:t>Legg alltid inn den siste setningen om neste kurs.</w:t>
      </w:r>
      <w:r>
        <w:rPr>
          <w:b w:val="0"/>
          <w:i w:val="0"/>
        </w:rPr>
        <w:t xml:space="preserve"> En resultatsak leses av folk som synes snooker virker interessant. Uten en vei videre gjør de ingenting med det. Dette er koblingen mellom turneringspresse og rekruttering, og den er gratis.</w:t>
      </w:r>
    </w:p>
    <w:p>
      <w:pPr>
        <w:spacing w:before="120" w:after="200"/>
        <w:pBdr>
          <w:bottom w:val="single" w:sz="4" w:space="4" w:color="C6D9CC"/>
        </w:pBdr>
      </w:pPr>
    </w:p>
    <w:p>
      <w:bookmarkStart w:id="1007" w:name="ovs8"/>
      <w:pPr>
        <w:pStyle w:val="Heading2"/>
        <w:pBdr>
          <w:bottom w:val="single" w:sz="4" w:space="4" w:color="C6D9CC"/>
        </w:pBdr>
      </w:pPr>
      <w:r>
        <w:rPr>
          <w:b/>
          <w:i w:val="0"/>
          <w:color w:val="1F7A4D"/>
          <w:sz w:val="28"/>
        </w:rPr>
        <w:t>Hva som skiller nivåene</w:t>
      </w:r>
      <w:bookmarkEnd w:id="1007"/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  <w:tblBorders>
          <w:top w:val="single" w:sz="8" w:space="0" w:color="3A6B4A"/>
          <w:left w:val="single" w:sz="4" w:space="0" w:color="3A6B4A"/>
          <w:bottom w:val="single" w:sz="8" w:space="0" w:color="3A6B4A"/>
          <w:right w:val="single" w:sz="4" w:space="0" w:color="3A6B4A"/>
          <w:insideH w:val="single" w:sz="4" w:space="0" w:color="3A6B4A"/>
          <w:insideV w:val="single" w:sz="4" w:space="0" w:color="3A6B4A"/>
        </w:tblBorders>
      </w:tblPr>
      <w:tblGrid>
        <w:gridCol w:w="3024"/>
        <w:gridCol w:w="3024"/>
        <w:gridCol w:w="3024"/>
      </w:tblGrid>
      <w:tr>
        <w:trPr>
          <w:cantSplit/>
          <w:tblHeader w:val="true"/>
        </w:trPr>
        <w:tc>
          <w:tcPr>
            <w:tcW w:type="dxa" w:w="3024"/>
            <w:shd w:val="clear" w:color="auto" w:fill="E9F2EC"/>
          </w:tcPr>
          <w:p>
            <w:pPr>
              <w:spacing w:before="60" w:after="60"/>
            </w:pPr>
            <w:r>
              <w:rPr>
                <w:b/>
              </w:rPr>
            </w:r>
            <w:r>
              <w:rPr>
                <w:b/>
                <w:i w:val="0"/>
                <w:color w:val="14532D"/>
                <w:sz w:val="21"/>
              </w:rPr>
              <w:t>Nivå</w:t>
            </w:r>
          </w:p>
        </w:tc>
        <w:tc>
          <w:tcPr>
            <w:tcW w:type="dxa" w:w="3024"/>
            <w:shd w:val="clear" w:color="auto" w:fill="E9F2EC"/>
          </w:tcPr>
          <w:p>
            <w:pPr>
              <w:spacing w:before="60" w:after="60"/>
            </w:pPr>
            <w:r>
              <w:rPr>
                <w:b/>
              </w:rPr>
            </w:r>
            <w:r>
              <w:rPr>
                <w:b/>
                <w:i w:val="0"/>
                <w:color w:val="14532D"/>
                <w:sz w:val="21"/>
              </w:rPr>
              <w:t>Vinkel som virker</w:t>
            </w:r>
          </w:p>
        </w:tc>
        <w:tc>
          <w:tcPr>
            <w:tcW w:type="dxa" w:w="3024"/>
            <w:shd w:val="clear" w:color="auto" w:fill="E9F2EC"/>
          </w:tcPr>
          <w:p>
            <w:pPr>
              <w:spacing w:before="60" w:after="60"/>
            </w:pPr>
            <w:r>
              <w:rPr>
                <w:b/>
              </w:rPr>
            </w:r>
            <w:r>
              <w:rPr>
                <w:b/>
                <w:i w:val="0"/>
                <w:color w:val="14532D"/>
                <w:sz w:val="21"/>
              </w:rPr>
              <w:t>Hvem sender mal C</w:t>
            </w:r>
          </w:p>
        </w:tc>
      </w:tr>
      <w:tr>
        <w:trPr>
          <w:cantSplit/>
        </w:trPr>
        <w:tc>
          <w:tcPr>
            <w:tcW w:type="dxa" w:w="3024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Regional turnering</w:t>
            </w:r>
          </w:p>
        </w:tc>
        <w:tc>
          <w:tcPr>
            <w:tcW w:type="dxa" w:w="3024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«Klubben arrangerte, {N} deltok» — lokalavisa dekker gjerne</w:t>
            </w:r>
          </w:p>
        </w:tc>
        <w:tc>
          <w:tcPr>
            <w:tcW w:type="dxa" w:w="3024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Arrangøren, for alle</w:t>
            </w:r>
          </w:p>
        </w:tc>
      </w:tr>
      <w:tr>
        <w:trPr>
          <w:cantSplit/>
        </w:trPr>
        <w:tc>
          <w:tcPr>
            <w:tcW w:type="dxa" w:w="3024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Norgescup</w:t>
            </w:r>
          </w:p>
        </w:tc>
        <w:tc>
          <w:tcPr>
            <w:tcW w:type="dxa" w:w="3024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Plassering og poeng i sammendraget</w:t>
            </w:r>
          </w:p>
        </w:tc>
        <w:tc>
          <w:tcPr>
            <w:tcW w:type="dxa" w:w="3024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Hver klubb for sine</w:t>
            </w:r>
          </w:p>
        </w:tc>
      </w:tr>
      <w:tr>
        <w:trPr>
          <w:cantSplit/>
        </w:trPr>
        <w:tc>
          <w:tcPr>
            <w:tcW w:type="dxa" w:w="3024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Norgesmesterskap</w:t>
            </w:r>
          </w:p>
        </w:tc>
        <w:tc>
          <w:tcPr>
            <w:tcW w:type="dxa" w:w="3024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«Norgesmester» er et ord som åpner dører. Bruk det</w:t>
            </w:r>
          </w:p>
        </w:tc>
        <w:tc>
          <w:tcPr>
            <w:tcW w:type="dxa" w:w="3024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Hver klubb for sine</w:t>
            </w:r>
          </w:p>
        </w:tc>
      </w:tr>
      <w:tr>
        <w:trPr>
          <w:cantSplit/>
        </w:trPr>
        <w:tc>
          <w:tcPr>
            <w:tcW w:type="dxa" w:w="3024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Nordisk mesterskap</w:t>
            </w:r>
          </w:p>
        </w:tc>
        <w:tc>
          <w:tcPr>
            <w:tcW w:type="dxa" w:w="3024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Norsk deltakelse i utlandet, eller at Norge arrangerer</w:t>
            </w:r>
          </w:p>
        </w:tc>
        <w:tc>
          <w:tcPr>
            <w:tcW w:type="dxa" w:w="3024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Hver klubb, etter NBF-avklaring</w:t>
            </w:r>
          </w:p>
        </w:tc>
      </w:tr>
    </w:tbl>
    <w:p>
      <w:pPr>
        <w:spacing w:after="120"/>
      </w:pPr>
    </w:p>
    <w:p>
      <w:r>
        <w:rPr>
          <w:b w:val="0"/>
          <w:i w:val="0"/>
        </w:rPr>
        <w:t>En regional turnering med tolv deltakere kan gi like mye lokal dekning som et NM. Terskelen i lokalavisa er ikke hvor stort arrangementet er — den er om det er folk derfra i saken.</w:t>
      </w:r>
    </w:p>
    <w:p>
      <w:pPr>
        <w:spacing w:before="120" w:after="200"/>
        <w:pBdr>
          <w:bottom w:val="single" w:sz="4" w:space="4" w:color="C6D9CC"/>
        </w:pBdr>
      </w:pPr>
    </w:p>
    <w:p>
      <w:bookmarkStart w:id="1008" w:name="ovs9"/>
      <w:pPr>
        <w:pStyle w:val="Heading2"/>
        <w:pBdr>
          <w:bottom w:val="single" w:sz="4" w:space="4" w:color="C6D9CC"/>
        </w:pBdr>
      </w:pPr>
      <w:r>
        <w:rPr>
          <w:b/>
          <w:i w:val="0"/>
          <w:color w:val="1F7A4D"/>
          <w:sz w:val="28"/>
        </w:rPr>
        <w:t>Bilder</w:t>
      </w:r>
      <w:bookmarkEnd w:id="1008"/>
    </w:p>
    <w:p>
      <w:r>
        <w:rPr>
          <w:b w:val="0"/>
          <w:i w:val="0"/>
        </w:rPr>
        <w:t>Samme regler som ellers i prosjektet:</w:t>
      </w:r>
    </w:p>
    <w:p>
      <w:pPr>
        <w:pStyle w:val="ListBullet"/>
      </w:pPr>
      <w:r>
        <w:rPr>
          <w:b w:val="0"/>
          <w:i w:val="0"/>
        </w:rPr>
        <w:t>Ta bildene underveis, ikke etterpå. Et tomt bord er ikke et bilde.</w:t>
      </w:r>
    </w:p>
    <w:p>
      <w:pPr>
        <w:pStyle w:val="ListBullet"/>
      </w:pPr>
      <w:r>
        <w:rPr>
          <w:b/>
          <w:i w:val="0"/>
        </w:rPr>
        <w:t>Personer som kan kjennes igjen må ha sagt ja</w:t>
      </w:r>
      <w:r>
        <w:rPr>
          <w:b w:val="0"/>
          <w:i w:val="0"/>
        </w:rPr>
        <w:t xml:space="preserve"> til bruk i avis og på nett. Er noen under 18, må foresatte ha sagt ja. Avklar dette ved påmelding, ikke i finalen.</w:t>
      </w:r>
    </w:p>
    <w:p>
      <w:pPr>
        <w:pStyle w:val="ListBullet"/>
      </w:pPr>
      <w:r>
        <w:rPr>
          <w:b w:val="0"/>
          <w:i w:val="0"/>
        </w:rPr>
        <w:t>Legg bildet ved i e-posten, ikke som lenke til en delt mappe.</w:t>
      </w:r>
    </w:p>
    <w:p>
      <w:pPr>
        <w:pStyle w:val="ListBullet"/>
      </w:pPr>
      <w:r>
        <w:rPr>
          <w:b w:val="0"/>
          <w:i w:val="0"/>
        </w:rPr>
        <w:t>Oppgi fotograf. Aviser trenger kreditering for å kunne bruke bildet.</w:t>
      </w:r>
    </w:p>
    <w:p>
      <w:pPr>
        <w:spacing w:before="120" w:after="200"/>
        <w:pBdr>
          <w:bottom w:val="single" w:sz="4" w:space="4" w:color="C6D9CC"/>
        </w:pBdr>
      </w:pPr>
    </w:p>
    <w:p>
      <w:bookmarkStart w:id="1009" w:name="ovs10"/>
      <w:pPr>
        <w:pStyle w:val="Heading2"/>
        <w:pBdr>
          <w:bottom w:val="single" w:sz="4" w:space="4" w:color="C6D9CC"/>
        </w:pBdr>
      </w:pPr>
      <w:r>
        <w:rPr>
          <w:b/>
          <w:i w:val="0"/>
          <w:color w:val="1F7A4D"/>
          <w:sz w:val="28"/>
        </w:rPr>
        <w:t>Sjekkliste for arrangøren</w:t>
      </w:r>
      <w:bookmarkEnd w:id="1009"/>
    </w:p>
    <w:p>
      <w:r>
        <w:rPr>
          <w:b/>
          <w:i w:val="0"/>
        </w:rPr>
        <w:t>Fire uker før</w:t>
      </w:r>
    </w:p>
    <w:p>
      <w:pPr>
        <w:tabs>
          <w:tab w:pos="482" w:val="left"/>
        </w:tabs>
        <w:spacing w:after="80" w:line="276" w:lineRule="auto"/>
        <w:ind w:left="482" w:hanging="482"/>
      </w:pPr>
      <w:r>
        <w:rPr>
          <w:rFonts w:ascii="Segoe UI Symbol" w:hAnsi="Segoe UI Symbol" w:eastAsia="Segoe UI Symbol" w:cs="Segoe UI Symbol"/>
          <w:color w:val="3A6B4A"/>
          <w:sz w:val="24"/>
        </w:rPr>
        <w:t>☐</w:t>
      </w:r>
      <w:r>
        <w:tab/>
      </w:r>
      <w:r>
        <w:rPr>
          <w:b w:val="0"/>
          <w:i w:val="0"/>
        </w:rPr>
        <w:t>Mal A fylt ut og sendt til lokalavis og NBF</w:t>
      </w:r>
    </w:p>
    <w:p>
      <w:pPr>
        <w:tabs>
          <w:tab w:pos="482" w:val="left"/>
        </w:tabs>
        <w:spacing w:after="80" w:line="276" w:lineRule="auto"/>
        <w:ind w:left="482" w:hanging="482"/>
      </w:pPr>
      <w:r>
        <w:rPr>
          <w:rFonts w:ascii="Segoe UI Symbol" w:hAnsi="Segoe UI Symbol" w:eastAsia="Segoe UI Symbol" w:cs="Segoe UI Symbol"/>
          <w:color w:val="3A6B4A"/>
          <w:sz w:val="24"/>
        </w:rPr>
        <w:t>☐</w:t>
      </w:r>
      <w:r>
        <w:tab/>
      </w:r>
      <w:r>
        <w:rPr>
          <w:b w:val="0"/>
          <w:i w:val="0"/>
        </w:rPr>
        <w:t>Ved NM eller nordisk: gitt NBF beskjed om at dere sender pressemateriell, og spurt om de vil ha teksten til eget bruk</w:t>
      </w:r>
    </w:p>
    <w:p>
      <w:pPr>
        <w:tabs>
          <w:tab w:pos="482" w:val="left"/>
        </w:tabs>
        <w:spacing w:after="80" w:line="276" w:lineRule="auto"/>
        <w:ind w:left="482" w:hanging="482"/>
      </w:pPr>
      <w:r>
        <w:rPr>
          <w:rFonts w:ascii="Segoe UI Symbol" w:hAnsi="Segoe UI Symbol" w:eastAsia="Segoe UI Symbol" w:cs="Segoe UI Symbol"/>
          <w:color w:val="3A6B4A"/>
          <w:sz w:val="24"/>
        </w:rPr>
        <w:t>☐</w:t>
      </w:r>
      <w:r>
        <w:tab/>
      </w:r>
      <w:r>
        <w:rPr>
          <w:b w:val="0"/>
          <w:i w:val="0"/>
        </w:rPr>
        <w:t>CueScore-lenken opprettet og delbar</w:t>
      </w:r>
    </w:p>
    <w:p>
      <w:r>
        <w:rPr>
          <w:b/>
          <w:i w:val="0"/>
        </w:rPr>
        <w:t>Uka før</w:t>
      </w:r>
    </w:p>
    <w:p>
      <w:pPr>
        <w:tabs>
          <w:tab w:pos="482" w:val="left"/>
        </w:tabs>
        <w:spacing w:after="80" w:line="276" w:lineRule="auto"/>
        <w:ind w:left="482" w:hanging="482"/>
      </w:pPr>
      <w:r>
        <w:rPr>
          <w:rFonts w:ascii="Segoe UI Symbol" w:hAnsi="Segoe UI Symbol" w:eastAsia="Segoe UI Symbol" w:cs="Segoe UI Symbol"/>
          <w:color w:val="3A6B4A"/>
          <w:sz w:val="24"/>
        </w:rPr>
        <w:t>☐</w:t>
      </w:r>
      <w:r>
        <w:tab/>
      </w:r>
      <w:r>
        <w:rPr>
          <w:b w:val="0"/>
          <w:i w:val="0"/>
        </w:rPr>
        <w:t>Mal B forhåndsutfylt med alt unntatt resultatene</w:t>
      </w:r>
    </w:p>
    <w:p>
      <w:pPr>
        <w:tabs>
          <w:tab w:pos="482" w:val="left"/>
        </w:tabs>
        <w:spacing w:after="80" w:line="276" w:lineRule="auto"/>
        <w:ind w:left="482" w:hanging="482"/>
      </w:pPr>
      <w:r>
        <w:rPr>
          <w:rFonts w:ascii="Segoe UI Symbol" w:hAnsi="Segoe UI Symbol" w:eastAsia="Segoe UI Symbol" w:cs="Segoe UI Symbol"/>
          <w:color w:val="3A6B4A"/>
          <w:sz w:val="24"/>
        </w:rPr>
        <w:t>☐</w:t>
      </w:r>
      <w:r>
        <w:tab/>
      </w:r>
      <w:r>
        <w:rPr>
          <w:b w:val="0"/>
          <w:i w:val="0"/>
        </w:rPr>
        <w:t>Én person utpekt som tar bilder</w:t>
      </w:r>
    </w:p>
    <w:p>
      <w:pPr>
        <w:tabs>
          <w:tab w:pos="482" w:val="left"/>
        </w:tabs>
        <w:spacing w:after="80" w:line="276" w:lineRule="auto"/>
        <w:ind w:left="482" w:hanging="482"/>
      </w:pPr>
      <w:r>
        <w:rPr>
          <w:rFonts w:ascii="Segoe UI Symbol" w:hAnsi="Segoe UI Symbol" w:eastAsia="Segoe UI Symbol" w:cs="Segoe UI Symbol"/>
          <w:color w:val="3A6B4A"/>
          <w:sz w:val="24"/>
        </w:rPr>
        <w:t>☐</w:t>
      </w:r>
      <w:r>
        <w:tab/>
      </w:r>
      <w:r>
        <w:rPr>
          <w:b w:val="0"/>
          <w:i w:val="0"/>
        </w:rPr>
        <w:t>Samtykke til bildebruk innhentet ved påmelding</w:t>
      </w:r>
    </w:p>
    <w:p>
      <w:r>
        <w:rPr>
          <w:b/>
          <w:i w:val="0"/>
        </w:rPr>
        <w:t>Turneringsdagen</w:t>
      </w:r>
    </w:p>
    <w:p>
      <w:pPr>
        <w:tabs>
          <w:tab w:pos="482" w:val="left"/>
        </w:tabs>
        <w:spacing w:after="80" w:line="276" w:lineRule="auto"/>
        <w:ind w:left="482" w:hanging="482"/>
      </w:pPr>
      <w:r>
        <w:rPr>
          <w:rFonts w:ascii="Segoe UI Symbol" w:hAnsi="Segoe UI Symbol" w:eastAsia="Segoe UI Symbol" w:cs="Segoe UI Symbol"/>
          <w:color w:val="3A6B4A"/>
          <w:sz w:val="24"/>
        </w:rPr>
        <w:t>☐</w:t>
      </w:r>
      <w:r>
        <w:tab/>
      </w:r>
      <w:r>
        <w:rPr>
          <w:b w:val="0"/>
          <w:i w:val="0"/>
        </w:rPr>
        <w:t>Ett spørsmål til vinneren på vei ut av salen — det blir sitatet</w:t>
      </w:r>
    </w:p>
    <w:p>
      <w:pPr>
        <w:tabs>
          <w:tab w:pos="482" w:val="left"/>
        </w:tabs>
        <w:spacing w:after="80" w:line="276" w:lineRule="auto"/>
        <w:ind w:left="482" w:hanging="482"/>
      </w:pPr>
      <w:r>
        <w:rPr>
          <w:rFonts w:ascii="Segoe UI Symbol" w:hAnsi="Segoe UI Symbol" w:eastAsia="Segoe UI Symbol" w:cs="Segoe UI Symbol"/>
          <w:color w:val="3A6B4A"/>
          <w:sz w:val="24"/>
        </w:rPr>
        <w:t>☐</w:t>
      </w:r>
      <w:r>
        <w:tab/>
      </w:r>
      <w:r>
        <w:rPr>
          <w:b w:val="0"/>
          <w:i w:val="0"/>
        </w:rPr>
        <w:t>Høyeste break notert</w:t>
      </w:r>
    </w:p>
    <w:p>
      <w:pPr>
        <w:tabs>
          <w:tab w:pos="482" w:val="left"/>
        </w:tabs>
        <w:spacing w:after="80" w:line="276" w:lineRule="auto"/>
        <w:ind w:left="482" w:hanging="482"/>
      </w:pPr>
      <w:r>
        <w:rPr>
          <w:rFonts w:ascii="Segoe UI Symbol" w:hAnsi="Segoe UI Symbol" w:eastAsia="Segoe UI Symbol" w:cs="Segoe UI Symbol"/>
          <w:color w:val="3A6B4A"/>
          <w:sz w:val="24"/>
        </w:rPr>
        <w:t>☐</w:t>
      </w:r>
      <w:r>
        <w:tab/>
      </w:r>
      <w:r>
        <w:rPr>
          <w:b w:val="0"/>
          <w:i w:val="0"/>
        </w:rPr>
        <w:t xml:space="preserve">Mal B fylt ut og sendt </w:t>
      </w:r>
      <w:r>
        <w:rPr>
          <w:b/>
          <w:i w:val="0"/>
        </w:rPr>
        <w:t>samme kveld</w:t>
      </w:r>
    </w:p>
    <w:p>
      <w:r>
        <w:rPr>
          <w:b/>
          <w:i w:val="0"/>
        </w:rPr>
        <w:t>Dagen etter</w:t>
      </w:r>
    </w:p>
    <w:p>
      <w:pPr>
        <w:tabs>
          <w:tab w:pos="482" w:val="left"/>
        </w:tabs>
        <w:spacing w:after="80" w:line="276" w:lineRule="auto"/>
        <w:ind w:left="482" w:hanging="482"/>
      </w:pPr>
      <w:r>
        <w:rPr>
          <w:rFonts w:ascii="Segoe UI Symbol" w:hAnsi="Segoe UI Symbol" w:eastAsia="Segoe UI Symbol" w:cs="Segoe UI Symbol"/>
          <w:color w:val="3A6B4A"/>
          <w:sz w:val="24"/>
        </w:rPr>
        <w:t>☐</w:t>
      </w:r>
      <w:r>
        <w:tab/>
      </w:r>
      <w:r>
        <w:rPr>
          <w:b w:val="0"/>
          <w:i w:val="0"/>
        </w:rPr>
        <w:t>Resultatlista sortert per klubb</w:t>
      </w:r>
    </w:p>
    <w:p>
      <w:pPr>
        <w:tabs>
          <w:tab w:pos="482" w:val="left"/>
        </w:tabs>
        <w:spacing w:after="80" w:line="276" w:lineRule="auto"/>
        <w:ind w:left="482" w:hanging="482"/>
      </w:pPr>
      <w:r>
        <w:rPr>
          <w:rFonts w:ascii="Segoe UI Symbol" w:hAnsi="Segoe UI Symbol" w:eastAsia="Segoe UI Symbol" w:cs="Segoe UI Symbol"/>
          <w:color w:val="3A6B4A"/>
          <w:sz w:val="24"/>
        </w:rPr>
        <w:t>☐</w:t>
      </w:r>
      <w:r>
        <w:tab/>
      </w:r>
      <w:r>
        <w:rPr>
          <w:b w:val="0"/>
          <w:i w:val="0"/>
        </w:rPr>
        <w:t>Mal C sendt til hver klubb, så de kan sende til sin egen lokalavis</w:t>
      </w:r>
    </w:p>
    <w:p>
      <w:r>
        <w:rPr>
          <w:b w:val="0"/>
          <w:i w:val="0"/>
        </w:rPr>
        <w:t>Det siste punktet er arrangørens viktigste bidrag til hele koalisjonen, og det tar tjue minutter.</w:t>
      </w:r>
    </w:p>
    <w:p>
      <w:bookmarkStart w:id="1010" w:name="ovs11"/>
      <w:pPr>
        <w:pStyle w:val="Heading2"/>
        <w:pBdr>
          <w:bottom w:val="single" w:sz="4" w:space="4" w:color="C6D9CC"/>
        </w:pBdr>
      </w:pPr>
      <w:r>
        <w:rPr>
          <w:b/>
          <w:i w:val="0"/>
          <w:color w:val="1F7A4D"/>
          <w:sz w:val="28"/>
        </w:rPr>
        <w:t>Se også</w:t>
      </w:r>
      <w:bookmarkEnd w:id="1010"/>
    </w:p>
    <w:p>
      <w:pPr>
        <w:pStyle w:val="ListBullet"/>
      </w:pPr>
      <w:r>
        <w:rPr>
          <w:b w:val="0"/>
          <w:i w:val="0"/>
          <w:color w:val="3A6B4A"/>
        </w:rPr>
        <w:t>Presseopplegg</w:t>
      </w:r>
      <w:r>
        <w:rPr>
          <w:b w:val="0"/>
          <w:i w:val="0"/>
        </w:rPr>
        <w:t xml:space="preserve"> — klubbpresse, to ganger i året</w:t>
      </w:r>
    </w:p>
    <w:p>
      <w:pPr>
        <w:pStyle w:val="ListBullet"/>
      </w:pPr>
      <w:r>
        <w:rPr>
          <w:b w:val="0"/>
          <w:i w:val="0"/>
          <w:color w:val="3A6B4A"/>
        </w:rPr>
        <w:t>Rekrutteringsopplegg</w:t>
      </w:r>
      <w:r>
        <w:rPr>
          <w:b w:val="0"/>
          <w:i w:val="0"/>
        </w:rPr>
        <w:t xml:space="preserve"> — trakten som resultatsakene skal lede inn i</w:t>
      </w:r>
    </w:p>
    <w:p>
      <w:pPr>
        <w:pStyle w:val="ListBullet"/>
      </w:pPr>
      <w:r>
        <w:rPr>
          <w:b w:val="0"/>
          <w:i w:val="0"/>
          <w:color w:val="3A6B4A"/>
        </w:rPr>
        <w:t>CueScore</w:t>
      </w:r>
      <w:r>
        <w:rPr>
          <w:b w:val="0"/>
          <w:i w:val="0"/>
        </w:rPr>
        <w:t xml:space="preserve"> — datakilde og åpne spørsmål</w:t>
      </w:r>
    </w:p>
    <w:p>
      <w:pPr>
        <w:pStyle w:val="ListBullet"/>
      </w:pPr>
      <w:r>
        <w:rPr>
          <w:b w:val="0"/>
          <w:i w:val="0"/>
          <w:color w:val="3A6B4A"/>
        </w:rPr>
        <w:t>Arshjul og tilskuddskalender</w:t>
      </w:r>
      <w:r>
        <w:rPr>
          <w:b w:val="0"/>
          <w:i w:val="0"/>
        </w:rPr>
        <w:t xml:space="preserve"> — turneringsdatoene bør inn i klubbens årshjul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595959"/>
        <w:sz w:val="17"/>
      </w:rPr>
      <w:t xml:space="preserve">Snooker – For Alle   ·   side </w:t>
    </w:r>
    <w:r>
      <w:rPr>
        <w:color w:val="595959"/>
        <w:sz w:val="17"/>
      </w:rPr>
      <w:fldChar w:fldCharType="begin"/>
    </w:r>
    <w:r>
      <w:rPr>
        <w:color w:val="595959"/>
        <w:sz w:val="17"/>
      </w:rPr>
      <w:instrText xml:space="preserve">PAGE</w:instrText>
    </w:r>
    <w:r>
      <w:rPr>
        <w:color w:val="595959"/>
        <w:sz w:val="17"/>
      </w:rPr>
      <w:fldChar w:fldCharType="end"/>
    </w:r>
    <w:r>
      <w:rPr>
        <w:color w:val="595959"/>
        <w:sz w:val="17"/>
      </w:rPr>
      <w:t xml:space="preserve"> av </w:t>
    </w:r>
    <w:r>
      <w:rPr>
        <w:color w:val="595959"/>
        <w:sz w:val="17"/>
      </w:rPr>
      <w:fldChar w:fldCharType="begin"/>
    </w:r>
    <w:r>
      <w:rPr>
        <w:color w:val="595959"/>
        <w:sz w:val="17"/>
      </w:rPr>
      <w:instrText xml:space="preserve">NUMPAGES</w:instrText>
    </w:r>
    <w:r>
      <w:rPr>
        <w:color w:val="595959"/>
        <w:sz w:val="17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4" w:space="4" w:color="3A6B4A"/>
      </w:pBdr>
    </w:pPr>
    <w:r/>
    <w:r>
      <w:rPr>
        <w:color w:val="595959"/>
        <w:sz w:val="17"/>
      </w:rPr>
      <w:t>Presseopplegg for turneringer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40" w:before="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 w:val="0"/>
      <w:spacing w:before="44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14532D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pageBreakBefore w:val="0"/>
      <w:spacing w:before="32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1F7A4D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pageBreakBefore w:val="0"/>
      <w:spacing w:before="240" w:after="60"/>
      <w:outlineLvl w:val="2"/>
    </w:pPr>
    <w:rPr>
      <w:rFonts w:asciiTheme="majorHAnsi" w:eastAsiaTheme="majorEastAsia" w:hAnsiTheme="majorHAnsi" w:cstheme="majorBidi" w:ascii="Calibri" w:hAnsi="Calibri"/>
      <w:b/>
      <w:bCs/>
      <w:color w:val="2F6B45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pageBreakBefore w:val="0"/>
      <w:spacing w:before="200" w:after="40"/>
      <w:outlineLvl w:val="3"/>
    </w:pPr>
    <w:rPr>
      <w:rFonts w:asciiTheme="majorHAnsi" w:eastAsiaTheme="majorEastAsia" w:hAnsiTheme="majorHAnsi" w:cstheme="majorBidi" w:ascii="Calibri" w:hAnsi="Calibri"/>
      <w:b/>
      <w:bCs/>
      <w:i/>
      <w:iCs/>
      <w:color w:val="2F6B45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76" w:lineRule="auto"/>
      <w:contextualSpacing/>
    </w:pPr>
    <w:rPr>
      <w:rFonts w:ascii="Calibri" w:hAnsi="Calibri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 w:line="276" w:lineRule="auto"/>
      <w:contextualSpacing/>
    </w:pPr>
    <w:rPr>
      <w:rFonts w:ascii="Calibri" w:hAnsi="Calibri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 w:line="276" w:lineRule="auto"/>
      <w:contextualSpacing/>
    </w:pPr>
    <w:rPr>
      <w:rFonts w:ascii="Calibri" w:hAnsi="Calibri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76" w:lineRule="auto"/>
      <w:contextualSpacing/>
    </w:pPr>
    <w:rPr>
      <w:rFonts w:ascii="Calibri" w:hAnsi="Calibri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spacing w:after="60" w:line="276" w:lineRule="auto"/>
      <w:contextualSpacing/>
    </w:pPr>
    <w:rPr>
      <w:rFonts w:ascii="Calibri" w:hAnsi="Calibri"/>
      <w:sz w:val="22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spacing w:after="60" w:line="276" w:lineRule="auto"/>
      <w:contextualSpacing/>
    </w:pPr>
    <w:rPr>
      <w:rFonts w:ascii="Calibri" w:hAnsi="Calibri"/>
      <w:sz w:val="22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